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98" w:rsidRDefault="00F13A98" w:rsidP="00D92737">
      <w:pPr>
        <w:rPr>
          <w:b/>
          <w:sz w:val="24"/>
          <w:szCs w:val="24"/>
        </w:rPr>
      </w:pPr>
    </w:p>
    <w:p w:rsidR="005C6C32" w:rsidRPr="00DE2562" w:rsidRDefault="00DE2562" w:rsidP="00DE2562">
      <w:pPr>
        <w:jc w:val="center"/>
        <w:rPr>
          <w:b/>
          <w:sz w:val="32"/>
          <w:szCs w:val="32"/>
        </w:rPr>
      </w:pPr>
      <w:r w:rsidRPr="00DE2562">
        <w:rPr>
          <w:b/>
          <w:sz w:val="32"/>
          <w:szCs w:val="32"/>
        </w:rPr>
        <w:t>Výzva k podání nabídky</w:t>
      </w:r>
    </w:p>
    <w:p w:rsidR="00DE2562" w:rsidRDefault="00DE2562" w:rsidP="00DE2562">
      <w:pPr>
        <w:jc w:val="center"/>
        <w:rPr>
          <w:b/>
        </w:rPr>
      </w:pPr>
      <w:r w:rsidRPr="00DE2562">
        <w:rPr>
          <w:b/>
        </w:rPr>
        <w:t>Domácí hospic Athelas, středisko Husitské diakonie vyhlašuje v souladu s § 27 a § 31 zákona č. 134/2016 Sb., o zadávání veřejných zakázek (dále jen „zákon“) veřejnou zakázku malého rozsahu na dodávky</w:t>
      </w:r>
      <w:r>
        <w:rPr>
          <w:b/>
        </w:rPr>
        <w:t>.</w:t>
      </w:r>
    </w:p>
    <w:p w:rsidR="00DE2562" w:rsidRPr="00DE2562" w:rsidRDefault="00DE2562" w:rsidP="00DE2562">
      <w:r w:rsidRPr="00DE2562">
        <w:t xml:space="preserve">Vyhlašovaná zakázka je veřejnou zakázkou malého rozsahu ve smyslu </w:t>
      </w:r>
      <w:proofErr w:type="spellStart"/>
      <w:r w:rsidRPr="00DE2562">
        <w:t>ust</w:t>
      </w:r>
      <w:proofErr w:type="spellEnd"/>
      <w:r w:rsidRPr="00DE2562">
        <w:t>. § 27 zákona. Tato veřejná zakázka malého rozsahu není, v souladu s ustanovením § 31 zákona, zadávána podle zákona.</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firstRow="0" w:lastRow="0" w:firstColumn="0" w:lastColumn="0" w:noHBand="0" w:noVBand="0"/>
      </w:tblPr>
      <w:tblGrid>
        <w:gridCol w:w="3247"/>
        <w:gridCol w:w="5740"/>
      </w:tblGrid>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Název </w:t>
            </w:r>
            <w:r w:rsidR="00E14E40" w:rsidRPr="00E50090">
              <w:rPr>
                <w:b/>
                <w:bCs/>
              </w:rPr>
              <w:t>zakázky</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835609" w:rsidP="00527329">
            <w:pPr>
              <w:pStyle w:val="Tabulkatext"/>
              <w:rPr>
                <w:b/>
              </w:rPr>
            </w:pPr>
            <w:r>
              <w:rPr>
                <w:b/>
              </w:rPr>
              <w:t xml:space="preserve">Nákup 2 osobních vozidel pro </w:t>
            </w:r>
            <w:r w:rsidR="00527329">
              <w:rPr>
                <w:b/>
              </w:rPr>
              <w:t>paliativní tým</w:t>
            </w:r>
            <w:r>
              <w:rPr>
                <w:b/>
              </w:rPr>
              <w:t xml:space="preserve"> DH Athelas</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Druh zakázky </w:t>
            </w:r>
            <w:r w:rsidRPr="00E50090">
              <w:t>(služba, dodávka nebo stavební práce)</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835609" w:rsidP="00D92737">
            <w:pPr>
              <w:pStyle w:val="Tabulkatext"/>
              <w:rPr>
                <w:b/>
              </w:rPr>
            </w:pPr>
            <w:r>
              <w:rPr>
                <w:b/>
              </w:rPr>
              <w:t>Dodávka</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D92737">
            <w:pPr>
              <w:pStyle w:val="Tabulkatext"/>
              <w:rPr>
                <w:b/>
                <w:bCs/>
              </w:rPr>
            </w:pPr>
            <w:r w:rsidRPr="00E50090">
              <w:rPr>
                <w:b/>
                <w:bCs/>
              </w:rPr>
              <w:t xml:space="preserve">Datum vyhlášení </w:t>
            </w:r>
            <w:r w:rsidR="004B48DE" w:rsidRPr="00E50090">
              <w:rPr>
                <w:b/>
                <w:bCs/>
              </w:rPr>
              <w:t>výzvy k podání nabídek</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DE2562" w:rsidP="00D92737">
            <w:pPr>
              <w:pStyle w:val="Tabulkatext"/>
              <w:rPr>
                <w:b/>
              </w:rPr>
            </w:pPr>
            <w:r>
              <w:rPr>
                <w:b/>
              </w:rPr>
              <w:t>0</w:t>
            </w:r>
            <w:r w:rsidR="00527329">
              <w:rPr>
                <w:b/>
              </w:rPr>
              <w:t>1</w:t>
            </w:r>
            <w:r w:rsidR="00835609" w:rsidRPr="00395011">
              <w:rPr>
                <w:b/>
              </w:rPr>
              <w:t>.</w:t>
            </w:r>
            <w:r w:rsidR="008670CE" w:rsidRPr="00395011">
              <w:rPr>
                <w:b/>
              </w:rPr>
              <w:t xml:space="preserve"> </w:t>
            </w:r>
            <w:r w:rsidR="00527329">
              <w:rPr>
                <w:b/>
              </w:rPr>
              <w:t>11</w:t>
            </w:r>
            <w:r w:rsidR="00835609" w:rsidRPr="00395011">
              <w:rPr>
                <w:b/>
              </w:rPr>
              <w:t>.</w:t>
            </w:r>
            <w:r w:rsidR="008670CE" w:rsidRPr="00395011">
              <w:rPr>
                <w:b/>
              </w:rPr>
              <w:t xml:space="preserve"> </w:t>
            </w:r>
            <w:r w:rsidR="00527329">
              <w:rPr>
                <w:b/>
              </w:rPr>
              <w:t>2024</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6D4968" w:rsidRDefault="00E14E40" w:rsidP="00D92737">
            <w:pPr>
              <w:pStyle w:val="Tabulkatext"/>
              <w:rPr>
                <w:b/>
              </w:rPr>
            </w:pPr>
            <w:r w:rsidRPr="006D4968">
              <w:rPr>
                <w:b/>
              </w:rPr>
              <w:t>Registrační číslo projektu</w:t>
            </w:r>
          </w:p>
        </w:tc>
        <w:tc>
          <w:tcPr>
            <w:tcW w:w="5740" w:type="dxa"/>
            <w:tcBorders>
              <w:top w:val="single" w:sz="6" w:space="0" w:color="000000"/>
              <w:left w:val="single" w:sz="4" w:space="0" w:color="auto"/>
              <w:bottom w:val="single" w:sz="6" w:space="0" w:color="000000"/>
              <w:right w:val="single" w:sz="6" w:space="0" w:color="000000"/>
            </w:tcBorders>
            <w:vAlign w:val="center"/>
          </w:tcPr>
          <w:p w:rsidR="000C0FA8" w:rsidRPr="00E50090" w:rsidRDefault="00527329" w:rsidP="00D92737">
            <w:pPr>
              <w:pStyle w:val="Tabulkatext"/>
            </w:pPr>
            <w:r>
              <w:rPr>
                <w:rFonts w:ascii="Arial" w:hAnsi="Arial" w:cs="Arial"/>
                <w:color w:val="000000"/>
                <w:sz w:val="22"/>
                <w:shd w:val="clear" w:color="auto" w:fill="FFFFFF"/>
              </w:rPr>
              <w:t>CZ.06.04.03/00/23_072/0005676</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E14E40" w:rsidP="00D92737">
            <w:pPr>
              <w:pStyle w:val="Tabulkatext"/>
              <w:rPr>
                <w:b/>
                <w:bCs/>
              </w:rPr>
            </w:pPr>
            <w:r w:rsidRPr="00E50090">
              <w:rPr>
                <w:b/>
                <w:bCs/>
              </w:rPr>
              <w:t>Název projektu</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527329" w:rsidP="00D92737">
            <w:pPr>
              <w:pStyle w:val="Tabulkatext"/>
              <w:rPr>
                <w:b/>
              </w:rPr>
            </w:pPr>
            <w:r w:rsidRPr="00527329">
              <w:rPr>
                <w:b/>
              </w:rPr>
              <w:t>Zvýšení kvality mobilní paliativní péče v Domácím hospici Athelas</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Ná</w:t>
            </w:r>
            <w:r w:rsidR="00E14E40" w:rsidRPr="00E50090">
              <w:rPr>
                <w:b/>
                <w:bCs/>
              </w:rPr>
              <w:t>zev / obchodní firma zadavatele</w:t>
            </w:r>
          </w:p>
        </w:tc>
        <w:tc>
          <w:tcPr>
            <w:tcW w:w="57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835609" w:rsidP="00D92737">
            <w:pPr>
              <w:pStyle w:val="Tabulkatext"/>
            </w:pPr>
            <w:r>
              <w:t>Domácí hospic Athelas – středisko Husitské diakonie</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Sídlo </w:t>
            </w:r>
            <w:r w:rsidR="00E14E40" w:rsidRPr="00E50090">
              <w:rPr>
                <w:b/>
                <w:bCs/>
              </w:rPr>
              <w:t>zadavatele</w:t>
            </w:r>
          </w:p>
        </w:tc>
        <w:tc>
          <w:tcPr>
            <w:tcW w:w="57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835609" w:rsidP="00D92737">
            <w:pPr>
              <w:pStyle w:val="Tabulkatext"/>
            </w:pPr>
            <w:r>
              <w:t>K. Čapka 589, 397 01 Písek</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32" w:rsidRPr="00E50090" w:rsidRDefault="005C6C32" w:rsidP="00D92737">
            <w:pPr>
              <w:pStyle w:val="Tabulkatext"/>
              <w:rPr>
                <w:b/>
                <w:bCs/>
              </w:rPr>
            </w:pPr>
            <w:r w:rsidRPr="00E50090">
              <w:rPr>
                <w:b/>
                <w:bCs/>
              </w:rPr>
              <w:t xml:space="preserve">Osoba oprávněná jednat za zadavatele, </w:t>
            </w:r>
            <w:r w:rsidR="00E14E40" w:rsidRPr="00E50090">
              <w:rPr>
                <w:b/>
                <w:bCs/>
              </w:rPr>
              <w:t xml:space="preserve">její telefon </w:t>
            </w:r>
            <w:r w:rsidR="00B3216D" w:rsidRPr="00E50090">
              <w:rPr>
                <w:b/>
                <w:bCs/>
              </w:rPr>
              <w:br/>
            </w:r>
            <w:r w:rsidR="00E14E40" w:rsidRPr="00E50090">
              <w:rPr>
                <w:b/>
                <w:bCs/>
              </w:rPr>
              <w:t>a e-mailová adresa</w:t>
            </w:r>
          </w:p>
        </w:tc>
        <w:tc>
          <w:tcPr>
            <w:tcW w:w="5740"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5C6C32" w:rsidRPr="00E50090" w:rsidRDefault="00835609" w:rsidP="00D92737">
            <w:pPr>
              <w:pStyle w:val="Tabulkatext"/>
            </w:pPr>
            <w:r>
              <w:t xml:space="preserve">Mgr. Daniela Nechvátalová, +420 602 125 560, </w:t>
            </w:r>
            <w:hyperlink r:id="rId8" w:history="1">
              <w:r w:rsidRPr="00645B1F">
                <w:rPr>
                  <w:rStyle w:val="Hypertextovodkaz"/>
                </w:rPr>
                <w:t>nechvatalova@hospic-pisek.cz</w:t>
              </w:r>
            </w:hyperlink>
            <w:r>
              <w:t xml:space="preserve">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D92737">
            <w:pPr>
              <w:pStyle w:val="Tabulkatext"/>
              <w:rPr>
                <w:b/>
                <w:bCs/>
              </w:rPr>
            </w:pPr>
            <w:r w:rsidRPr="00E50090">
              <w:rPr>
                <w:b/>
                <w:bCs/>
              </w:rPr>
              <w:t>IČ zadavatele</w:t>
            </w:r>
            <w:r w:rsidR="004B48DE" w:rsidRPr="00E50090">
              <w:rPr>
                <w:b/>
                <w:bCs/>
              </w:rPr>
              <w:t xml:space="preserve"> / DIČ zadavatele</w:t>
            </w:r>
          </w:p>
        </w:tc>
        <w:tc>
          <w:tcPr>
            <w:tcW w:w="57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835609" w:rsidP="00D92737">
            <w:pPr>
              <w:pStyle w:val="Tabulkatext"/>
            </w:pPr>
            <w:r>
              <w:t>03663353</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Kontaktní osoba zadavatele ve věci zakázky, její telefon a e-mailová adresa</w:t>
            </w:r>
          </w:p>
        </w:tc>
        <w:tc>
          <w:tcPr>
            <w:tcW w:w="57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E50090" w:rsidRDefault="00835609" w:rsidP="00D92737">
            <w:pPr>
              <w:pStyle w:val="Tabulkatext"/>
            </w:pPr>
            <w:r>
              <w:t xml:space="preserve">Ing. Samková Věra, +420 725 757 422, </w:t>
            </w:r>
            <w:hyperlink r:id="rId9" w:history="1">
              <w:r w:rsidRPr="00645B1F">
                <w:rPr>
                  <w:rStyle w:val="Hypertextovodkaz"/>
                </w:rPr>
                <w:t>samkova@hospic-pisek.cz</w:t>
              </w:r>
            </w:hyperlink>
            <w:r>
              <w:t xml:space="preserve">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B3216D" w:rsidP="00D92737">
            <w:pPr>
              <w:pStyle w:val="Tabulkatext"/>
              <w:rPr>
                <w:b/>
                <w:bCs/>
              </w:rPr>
            </w:pPr>
            <w:r w:rsidRPr="00E50090">
              <w:rPr>
                <w:b/>
                <w:bCs/>
              </w:rPr>
              <w:t>Lhůta pro podání nabídek</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Default="00DE2562" w:rsidP="00D92737">
            <w:pPr>
              <w:pStyle w:val="Tabulkatext"/>
            </w:pPr>
            <w:r>
              <w:rPr>
                <w:b/>
              </w:rPr>
              <w:t>18</w:t>
            </w:r>
            <w:r w:rsidR="00057254">
              <w:rPr>
                <w:b/>
              </w:rPr>
              <w:t>. 11. 2024</w:t>
            </w:r>
            <w:r w:rsidR="00274D99" w:rsidRPr="00D35BAB">
              <w:t>, 10:00 hod.</w:t>
            </w:r>
          </w:p>
          <w:p w:rsidR="008A2298" w:rsidRPr="00E50090" w:rsidRDefault="008A2298" w:rsidP="008A2298">
            <w:pPr>
              <w:pStyle w:val="Tabulkatext"/>
              <w:jc w:val="both"/>
            </w:pPr>
            <w:r>
              <w:t xml:space="preserve">Nabídka musí být podána nejpozději do konce lhůty pro podání nabídek stanovené výše. Za řádné a včasné podání nabídky nese odpovědnost účastník.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Místo pro podání nabídek</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8670CE" w:rsidP="00D92737">
            <w:pPr>
              <w:pStyle w:val="Tabulkatext"/>
            </w:pPr>
            <w:r>
              <w:t>sídlo zadavatele - Domácí hospic Athelas, K. Čapka 589, 397 01 Písek</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D92737">
            <w:pPr>
              <w:pStyle w:val="Tabulkatext"/>
            </w:pPr>
            <w:r w:rsidRPr="00E50090">
              <w:rPr>
                <w:b/>
                <w:bCs/>
              </w:rPr>
              <w:t>Popis (specifikace) předmětu zakázky</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E14E40" w:rsidRDefault="008E1730" w:rsidP="008A2298">
            <w:pPr>
              <w:pStyle w:val="Tabulkatext"/>
              <w:ind w:left="0"/>
              <w:jc w:val="both"/>
              <w:rPr>
                <w:color w:val="auto"/>
                <w:szCs w:val="20"/>
              </w:rPr>
            </w:pPr>
            <w:r w:rsidRPr="001D194E">
              <w:rPr>
                <w:color w:val="auto"/>
                <w:szCs w:val="20"/>
              </w:rPr>
              <w:t xml:space="preserve">Předmětem veřejné zakázky je nákup 2 ks </w:t>
            </w:r>
            <w:r w:rsidR="00BF3072">
              <w:rPr>
                <w:color w:val="auto"/>
                <w:szCs w:val="20"/>
              </w:rPr>
              <w:t xml:space="preserve">nových </w:t>
            </w:r>
            <w:r w:rsidRPr="001D194E">
              <w:rPr>
                <w:color w:val="auto"/>
                <w:szCs w:val="20"/>
              </w:rPr>
              <w:t xml:space="preserve">osobních automobilů pro </w:t>
            </w:r>
            <w:r w:rsidR="00057254">
              <w:rPr>
                <w:color w:val="auto"/>
                <w:szCs w:val="20"/>
              </w:rPr>
              <w:t>pracovníky</w:t>
            </w:r>
            <w:r w:rsidRPr="001D194E">
              <w:rPr>
                <w:color w:val="auto"/>
                <w:szCs w:val="20"/>
              </w:rPr>
              <w:t xml:space="preserve"> Domácího hospice A</w:t>
            </w:r>
            <w:r w:rsidR="00A3569D" w:rsidRPr="001D194E">
              <w:rPr>
                <w:color w:val="auto"/>
                <w:szCs w:val="20"/>
              </w:rPr>
              <w:t>thelas. Osobní automobily budou mít níže uvedené</w:t>
            </w:r>
            <w:r w:rsidR="001D194E">
              <w:rPr>
                <w:color w:val="auto"/>
                <w:szCs w:val="20"/>
              </w:rPr>
              <w:t xml:space="preserve"> požadované technické parametry:</w:t>
            </w:r>
          </w:p>
          <w:p w:rsidR="00453C75" w:rsidRPr="0080109D" w:rsidRDefault="005C17E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 xml:space="preserve">Typ: Osobní automobil </w:t>
            </w:r>
            <w:proofErr w:type="spellStart"/>
            <w:r w:rsidRPr="0080109D">
              <w:rPr>
                <w:rFonts w:ascii="Arial" w:eastAsia="Times New Roman" w:hAnsi="Arial" w:cs="Arial"/>
                <w:sz w:val="20"/>
                <w:szCs w:val="20"/>
                <w:lang w:eastAsia="cs-CZ"/>
              </w:rPr>
              <w:t>combi</w:t>
            </w:r>
            <w:proofErr w:type="spellEnd"/>
            <w:r w:rsidR="00395A3F" w:rsidRPr="0080109D">
              <w:rPr>
                <w:rFonts w:ascii="Arial" w:eastAsia="Times New Roman" w:hAnsi="Arial" w:cs="Arial"/>
                <w:sz w:val="20"/>
                <w:szCs w:val="20"/>
                <w:lang w:eastAsia="cs-CZ"/>
              </w:rPr>
              <w:t xml:space="preserve"> nebo hatchback</w:t>
            </w:r>
          </w:p>
          <w:p w:rsidR="00453C75" w:rsidRPr="0080109D" w:rsidRDefault="005C17E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 xml:space="preserve">Palivo: </w:t>
            </w:r>
            <w:r w:rsidR="00453C75" w:rsidRPr="0080109D">
              <w:rPr>
                <w:rFonts w:ascii="Arial" w:eastAsia="Times New Roman" w:hAnsi="Arial" w:cs="Arial"/>
                <w:sz w:val="20"/>
                <w:szCs w:val="20"/>
                <w:lang w:eastAsia="cs-CZ"/>
              </w:rPr>
              <w:t>Benzín</w:t>
            </w:r>
            <w:r w:rsidR="00935469" w:rsidRPr="0080109D">
              <w:rPr>
                <w:rFonts w:ascii="Arial" w:eastAsia="Times New Roman" w:hAnsi="Arial" w:cs="Arial"/>
                <w:sz w:val="20"/>
                <w:szCs w:val="20"/>
                <w:lang w:eastAsia="cs-CZ"/>
              </w:rPr>
              <w:t xml:space="preserve"> nebo el. </w:t>
            </w:r>
            <w:proofErr w:type="gramStart"/>
            <w:r w:rsidR="00935469" w:rsidRPr="0080109D">
              <w:rPr>
                <w:rFonts w:ascii="Arial" w:eastAsia="Times New Roman" w:hAnsi="Arial" w:cs="Arial"/>
                <w:sz w:val="20"/>
                <w:szCs w:val="20"/>
                <w:lang w:eastAsia="cs-CZ"/>
              </w:rPr>
              <w:t>motor</w:t>
            </w:r>
            <w:proofErr w:type="gramEnd"/>
            <w:r w:rsidR="00935469" w:rsidRPr="0080109D">
              <w:rPr>
                <w:rFonts w:ascii="Arial" w:eastAsia="Times New Roman" w:hAnsi="Arial" w:cs="Arial"/>
                <w:sz w:val="20"/>
                <w:szCs w:val="20"/>
                <w:lang w:eastAsia="cs-CZ"/>
              </w:rPr>
              <w:t xml:space="preserve"> (popř. kombinace)</w:t>
            </w:r>
          </w:p>
          <w:p w:rsidR="00453C75" w:rsidRPr="0080109D" w:rsidRDefault="00935469"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 xml:space="preserve">Motor: 1,0 - 1,5 </w:t>
            </w:r>
            <w:bookmarkStart w:id="0" w:name="_GoBack"/>
            <w:bookmarkEnd w:id="0"/>
          </w:p>
          <w:p w:rsidR="00453C75" w:rsidRPr="0080109D" w:rsidRDefault="00935469" w:rsidP="008A2298">
            <w:pPr>
              <w:spacing w:after="0"/>
              <w:rPr>
                <w:rFonts w:ascii="Arial" w:eastAsia="Times New Roman" w:hAnsi="Arial" w:cs="Arial"/>
                <w:b/>
                <w:sz w:val="20"/>
                <w:szCs w:val="20"/>
                <w:lang w:eastAsia="cs-CZ"/>
              </w:rPr>
            </w:pPr>
            <w:r w:rsidRPr="0080109D">
              <w:rPr>
                <w:rFonts w:ascii="Arial" w:eastAsia="Times New Roman" w:hAnsi="Arial" w:cs="Arial"/>
                <w:b/>
                <w:sz w:val="20"/>
                <w:szCs w:val="20"/>
                <w:lang w:eastAsia="cs-CZ"/>
              </w:rPr>
              <w:t>Emisní limit: max. 50 g CO2/km</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 xml:space="preserve">Objem kufru: </w:t>
            </w:r>
            <w:r w:rsidR="005C17E5" w:rsidRPr="0080109D">
              <w:rPr>
                <w:rFonts w:ascii="Arial" w:eastAsia="Times New Roman" w:hAnsi="Arial" w:cs="Arial"/>
                <w:sz w:val="20"/>
                <w:szCs w:val="20"/>
                <w:lang w:eastAsia="cs-CZ"/>
              </w:rPr>
              <w:t xml:space="preserve">min. </w:t>
            </w:r>
            <w:r w:rsidR="0080109D" w:rsidRPr="0080109D">
              <w:rPr>
                <w:rFonts w:ascii="Arial" w:eastAsia="Times New Roman" w:hAnsi="Arial" w:cs="Arial"/>
                <w:sz w:val="20"/>
                <w:szCs w:val="20"/>
                <w:lang w:eastAsia="cs-CZ"/>
              </w:rPr>
              <w:t>510</w:t>
            </w:r>
            <w:r w:rsidR="005C17E5" w:rsidRPr="0080109D">
              <w:rPr>
                <w:rFonts w:ascii="Arial" w:eastAsia="Times New Roman" w:hAnsi="Arial" w:cs="Arial"/>
                <w:sz w:val="20"/>
                <w:szCs w:val="20"/>
                <w:lang w:eastAsia="cs-CZ"/>
              </w:rPr>
              <w:t xml:space="preserve">l </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Kola: </w:t>
            </w:r>
            <w:r w:rsidR="0080109D" w:rsidRPr="0080109D">
              <w:rPr>
                <w:rFonts w:ascii="Arial" w:eastAsia="Times New Roman" w:hAnsi="Arial" w:cs="Arial"/>
                <w:sz w:val="20"/>
                <w:szCs w:val="20"/>
                <w:lang w:eastAsia="cs-CZ"/>
              </w:rPr>
              <w:t xml:space="preserve"> </w:t>
            </w:r>
            <w:proofErr w:type="gramStart"/>
            <w:r w:rsidR="0080109D" w:rsidRPr="0080109D">
              <w:rPr>
                <w:rFonts w:ascii="Arial" w:eastAsia="Times New Roman" w:hAnsi="Arial" w:cs="Arial"/>
                <w:sz w:val="20"/>
                <w:szCs w:val="20"/>
                <w:lang w:eastAsia="cs-CZ"/>
              </w:rPr>
              <w:t>min</w:t>
            </w:r>
            <w:r w:rsidR="00DE12D5" w:rsidRPr="0080109D">
              <w:rPr>
                <w:rFonts w:ascii="Arial" w:eastAsia="Times New Roman" w:hAnsi="Arial" w:cs="Arial"/>
                <w:sz w:val="20"/>
                <w:szCs w:val="20"/>
                <w:lang w:eastAsia="cs-CZ"/>
              </w:rPr>
              <w:t>.</w:t>
            </w:r>
            <w:r w:rsidRPr="0080109D">
              <w:rPr>
                <w:rFonts w:ascii="Arial" w:eastAsia="Times New Roman" w:hAnsi="Arial" w:cs="Arial"/>
                <w:sz w:val="20"/>
                <w:szCs w:val="20"/>
                <w:lang w:eastAsia="cs-CZ"/>
              </w:rPr>
              <w:t>17</w:t>
            </w:r>
            <w:proofErr w:type="gramEnd"/>
            <w:r w:rsidRPr="0080109D">
              <w:rPr>
                <w:rFonts w:ascii="Arial" w:eastAsia="Times New Roman" w:hAnsi="Arial" w:cs="Arial"/>
                <w:sz w:val="20"/>
                <w:szCs w:val="20"/>
                <w:lang w:eastAsia="cs-CZ"/>
              </w:rPr>
              <w:t>"</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Počet dveří: 5</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Počet míst: 5</w:t>
            </w:r>
          </w:p>
          <w:p w:rsidR="00453C75" w:rsidRPr="0080109D" w:rsidRDefault="00FF4A88" w:rsidP="008A2298">
            <w:pPr>
              <w:spacing w:after="0"/>
              <w:rPr>
                <w:rFonts w:ascii="Arial" w:eastAsia="Times New Roman" w:hAnsi="Arial" w:cs="Arial"/>
                <w:sz w:val="20"/>
                <w:szCs w:val="20"/>
                <w:lang w:eastAsia="cs-CZ"/>
              </w:rPr>
            </w:pPr>
            <w:proofErr w:type="spellStart"/>
            <w:r w:rsidRPr="0080109D">
              <w:rPr>
                <w:rFonts w:ascii="Arial" w:eastAsia="Times New Roman" w:hAnsi="Arial" w:cs="Arial"/>
                <w:sz w:val="20"/>
                <w:szCs w:val="20"/>
                <w:lang w:eastAsia="cs-CZ"/>
              </w:rPr>
              <w:t>Pneu</w:t>
            </w:r>
            <w:proofErr w:type="spellEnd"/>
            <w:r w:rsidRPr="0080109D">
              <w:rPr>
                <w:rFonts w:ascii="Arial" w:eastAsia="Times New Roman" w:hAnsi="Arial" w:cs="Arial"/>
                <w:sz w:val="20"/>
                <w:szCs w:val="20"/>
                <w:lang w:eastAsia="cs-CZ"/>
              </w:rPr>
              <w:t xml:space="preserve">: kola z lehké slitiny letní </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lastRenderedPageBreak/>
              <w:t xml:space="preserve">Rezervní kolo </w:t>
            </w:r>
            <w:r w:rsidR="0080109D" w:rsidRPr="0080109D">
              <w:rPr>
                <w:rFonts w:ascii="Arial" w:eastAsia="Times New Roman" w:hAnsi="Arial" w:cs="Arial"/>
                <w:sz w:val="20"/>
                <w:szCs w:val="20"/>
                <w:lang w:eastAsia="cs-CZ"/>
              </w:rPr>
              <w:t>neplnohodnotné</w:t>
            </w:r>
          </w:p>
          <w:p w:rsidR="00453C75" w:rsidRPr="0080109D" w:rsidRDefault="00DE2562" w:rsidP="008A2298">
            <w:pPr>
              <w:spacing w:after="0"/>
              <w:rPr>
                <w:rFonts w:ascii="Arial" w:eastAsia="Times New Roman" w:hAnsi="Arial" w:cs="Arial"/>
                <w:sz w:val="20"/>
                <w:szCs w:val="20"/>
                <w:lang w:eastAsia="cs-CZ"/>
              </w:rPr>
            </w:pPr>
            <w:r>
              <w:rPr>
                <w:rFonts w:ascii="Arial" w:eastAsia="Times New Roman" w:hAnsi="Arial" w:cs="Arial"/>
                <w:sz w:val="20"/>
                <w:szCs w:val="20"/>
                <w:lang w:eastAsia="cs-CZ"/>
              </w:rPr>
              <w:t>Vyhřívaná</w:t>
            </w:r>
            <w:r w:rsidR="00453C75" w:rsidRPr="0080109D">
              <w:rPr>
                <w:rFonts w:ascii="Arial" w:eastAsia="Times New Roman" w:hAnsi="Arial" w:cs="Arial"/>
                <w:sz w:val="20"/>
                <w:szCs w:val="20"/>
                <w:lang w:eastAsia="cs-CZ"/>
              </w:rPr>
              <w:t xml:space="preserve"> přední sedadla </w:t>
            </w:r>
          </w:p>
          <w:p w:rsidR="00453C75" w:rsidRPr="0080109D" w:rsidRDefault="00453C75" w:rsidP="008A2298">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Parkovací senzory vzad</w:t>
            </w:r>
            <w:r w:rsidR="00DE2562">
              <w:rPr>
                <w:rFonts w:ascii="Arial" w:eastAsia="Times New Roman" w:hAnsi="Arial" w:cs="Arial"/>
                <w:sz w:val="20"/>
                <w:szCs w:val="20"/>
                <w:lang w:eastAsia="cs-CZ"/>
              </w:rPr>
              <w:t>u</w:t>
            </w:r>
          </w:p>
          <w:p w:rsidR="00E14E40" w:rsidRPr="00CE0C65" w:rsidRDefault="00DE12D5" w:rsidP="00CE0C65">
            <w:pPr>
              <w:spacing w:after="0"/>
              <w:rPr>
                <w:rFonts w:ascii="Arial" w:eastAsia="Times New Roman" w:hAnsi="Arial" w:cs="Arial"/>
                <w:sz w:val="20"/>
                <w:szCs w:val="20"/>
                <w:lang w:eastAsia="cs-CZ"/>
              </w:rPr>
            </w:pPr>
            <w:r w:rsidRPr="0080109D">
              <w:rPr>
                <w:rFonts w:ascii="Arial" w:eastAsia="Times New Roman" w:hAnsi="Arial" w:cs="Arial"/>
                <w:sz w:val="20"/>
                <w:szCs w:val="20"/>
                <w:lang w:eastAsia="cs-CZ"/>
              </w:rPr>
              <w:t>Barva vozu: základní</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32" w:rsidRPr="00E50090" w:rsidRDefault="005C6C32" w:rsidP="00D92737">
            <w:pPr>
              <w:pStyle w:val="Tabulkatext"/>
              <w:rPr>
                <w:b/>
                <w:bCs/>
              </w:rPr>
            </w:pPr>
            <w:r w:rsidRPr="00E50090">
              <w:rPr>
                <w:b/>
                <w:bCs/>
              </w:rPr>
              <w:lastRenderedPageBreak/>
              <w:t xml:space="preserve">Předpokládaná hodnota zakázky v Kč </w:t>
            </w:r>
            <w:r w:rsidRPr="00E50090">
              <w:t>(bez DPH)</w:t>
            </w:r>
          </w:p>
        </w:tc>
        <w:tc>
          <w:tcPr>
            <w:tcW w:w="5740"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453C75" w:rsidRDefault="00453C75" w:rsidP="000B553D">
            <w:pPr>
              <w:pStyle w:val="Tabulkatext"/>
              <w:jc w:val="both"/>
              <w:rPr>
                <w:i/>
                <w:color w:val="FF0000"/>
              </w:rPr>
            </w:pPr>
          </w:p>
          <w:p w:rsidR="005C6C32" w:rsidRPr="00E96791" w:rsidRDefault="00E96791" w:rsidP="000B553D">
            <w:pPr>
              <w:pStyle w:val="Tabulkatext"/>
              <w:jc w:val="both"/>
              <w:rPr>
                <w:color w:val="auto"/>
              </w:rPr>
            </w:pPr>
            <w:r w:rsidRPr="00E96791">
              <w:rPr>
                <w:color w:val="auto"/>
              </w:rPr>
              <w:t>1.586.760</w:t>
            </w:r>
            <w:r w:rsidR="000B553D" w:rsidRPr="00E96791">
              <w:rPr>
                <w:color w:val="auto"/>
              </w:rPr>
              <w:t>,- Kč bez DPH (</w:t>
            </w:r>
            <w:r w:rsidRPr="00E96791">
              <w:rPr>
                <w:color w:val="auto"/>
              </w:rPr>
              <w:t>1.919.980</w:t>
            </w:r>
            <w:r w:rsidR="008E1730" w:rsidRPr="00E96791">
              <w:rPr>
                <w:color w:val="auto"/>
              </w:rPr>
              <w:t>,- vč. DPH). Částka je maximální a nepřekročitelná.</w:t>
            </w:r>
            <w:r w:rsidR="00395A3F" w:rsidRPr="00E96791">
              <w:rPr>
                <w:color w:val="auto"/>
              </w:rPr>
              <w:t xml:space="preserve"> Cena maximální je myšlena za oba vozy dohromady.</w:t>
            </w:r>
          </w:p>
          <w:p w:rsidR="00B7041C" w:rsidRDefault="00DE12D5" w:rsidP="000B553D">
            <w:pPr>
              <w:pStyle w:val="Tabulkatext"/>
              <w:jc w:val="both"/>
              <w:rPr>
                <w:color w:val="auto"/>
              </w:rPr>
            </w:pPr>
            <w:r w:rsidRPr="00E96791">
              <w:rPr>
                <w:color w:val="auto"/>
              </w:rPr>
              <w:t xml:space="preserve">Zadavatel stanovuje limit pro nabídkovou cenu (bez DPH) a určuje tak předpokládanou </w:t>
            </w:r>
            <w:r w:rsidR="000B553D" w:rsidRPr="00E96791">
              <w:rPr>
                <w:color w:val="auto"/>
              </w:rPr>
              <w:t xml:space="preserve">hodnotu veřejné zakázky ve výši </w:t>
            </w:r>
            <w:r w:rsidR="00E96791" w:rsidRPr="00E96791">
              <w:rPr>
                <w:b/>
                <w:color w:val="auto"/>
              </w:rPr>
              <w:t>1.586.760</w:t>
            </w:r>
            <w:r w:rsidR="000B553D" w:rsidRPr="00E96791">
              <w:rPr>
                <w:b/>
                <w:color w:val="auto"/>
              </w:rPr>
              <w:t>,- Kč bez DPH jako maximální částku,</w:t>
            </w:r>
            <w:r w:rsidR="000B553D" w:rsidRPr="00E96791">
              <w:rPr>
                <w:color w:val="auto"/>
              </w:rPr>
              <w:t xml:space="preserve"> kterou je účastník oprávněn nabídnout.</w:t>
            </w:r>
            <w:r w:rsidR="000B553D" w:rsidRPr="000B553D">
              <w:rPr>
                <w:color w:val="auto"/>
              </w:rPr>
              <w:t xml:space="preserve"> </w:t>
            </w:r>
          </w:p>
          <w:p w:rsidR="00DE12D5" w:rsidRPr="00B7041C" w:rsidRDefault="000B553D" w:rsidP="000B553D">
            <w:pPr>
              <w:pStyle w:val="Tabulkatext"/>
              <w:jc w:val="both"/>
              <w:rPr>
                <w:i/>
                <w:color w:val="FF0000"/>
                <w:u w:val="single"/>
              </w:rPr>
            </w:pPr>
            <w:r w:rsidRPr="00B7041C">
              <w:rPr>
                <w:color w:val="auto"/>
                <w:u w:val="single"/>
              </w:rPr>
              <w:t>Překročení stanoveného limitu znamená nedodržení zadávacích podmínek, příslušná nabídka bude vyřazena.</w:t>
            </w:r>
          </w:p>
          <w:p w:rsidR="005C6C32" w:rsidRPr="00E50090" w:rsidRDefault="005C6C32" w:rsidP="00453C75">
            <w:pPr>
              <w:pStyle w:val="Tabulkatext"/>
              <w:ind w:left="0"/>
              <w:rPr>
                <w:i/>
              </w:rPr>
            </w:pP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Lhůta dodání / časový harmonogr</w:t>
            </w:r>
            <w:r w:rsidR="00E14E40" w:rsidRPr="00E50090">
              <w:rPr>
                <w:b/>
                <w:bCs/>
              </w:rPr>
              <w:t>am plnění / doba trvání zakázky</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0B553D" w:rsidRDefault="000B553D" w:rsidP="00A3569D">
            <w:pPr>
              <w:pStyle w:val="Tabulkatext"/>
            </w:pPr>
            <w:r>
              <w:t>Předpokl</w:t>
            </w:r>
            <w:r w:rsidR="000B11AC">
              <w:t xml:space="preserve">ádaný termín zahájení plnění: </w:t>
            </w:r>
            <w:proofErr w:type="gramStart"/>
            <w:r w:rsidR="0080109D">
              <w:t>1.</w:t>
            </w:r>
            <w:r w:rsidR="00057254">
              <w:t>12</w:t>
            </w:r>
            <w:r w:rsidR="0080109D">
              <w:t>.</w:t>
            </w:r>
            <w:r w:rsidR="00057254">
              <w:t>2024</w:t>
            </w:r>
            <w:proofErr w:type="gramEnd"/>
          </w:p>
          <w:p w:rsidR="005C6C32" w:rsidRDefault="000B553D" w:rsidP="000B553D">
            <w:pPr>
              <w:pStyle w:val="Tabulkatext"/>
            </w:pPr>
            <w:r>
              <w:t xml:space="preserve">Závazný termín dokončení plnění: </w:t>
            </w:r>
            <w:r w:rsidR="00835609">
              <w:t>do</w:t>
            </w:r>
            <w:r w:rsidR="004E1CAE">
              <w:t xml:space="preserve"> </w:t>
            </w:r>
            <w:r w:rsidR="00057254">
              <w:t>243</w:t>
            </w:r>
            <w:r w:rsidR="00A3569D">
              <w:t xml:space="preserve"> kalendářních dní od podpisu </w:t>
            </w:r>
            <w:r w:rsidR="00835609">
              <w:t>smlouvy</w:t>
            </w:r>
          </w:p>
          <w:p w:rsidR="000B553D" w:rsidRDefault="000B553D" w:rsidP="000B553D">
            <w:pPr>
              <w:pStyle w:val="Tabulkatext"/>
            </w:pPr>
          </w:p>
          <w:p w:rsidR="000B553D" w:rsidRPr="00E50090" w:rsidRDefault="000B553D" w:rsidP="000B553D">
            <w:pPr>
              <w:pStyle w:val="Tabulkatext"/>
              <w:jc w:val="both"/>
            </w:pPr>
            <w:r>
              <w:t xml:space="preserve">Termín zahájení plnění je předpokládaný termín stanovený zadavatelem. Uvedený termín může být posunut z objektivních důvodů, které vyplývají zejména, nikoliv však výlučně, z procesního průběhu výběrového řízení a podepsání kupní smlouvy. Účastník musí při zpracování nabídky vzít v úvahu případné souvislosti s možným posunem lhůt plnění veřejné zakázky.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D92737">
            <w:pPr>
              <w:pStyle w:val="Tabulkatext"/>
              <w:rPr>
                <w:b/>
                <w:bCs/>
              </w:rPr>
            </w:pPr>
            <w:r w:rsidRPr="00E50090">
              <w:rPr>
                <w:b/>
                <w:bCs/>
              </w:rPr>
              <w:t>Místo dodání / převzetí plnění</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A3569D" w:rsidP="00D92737">
            <w:pPr>
              <w:pStyle w:val="Tabulkatext"/>
            </w:pPr>
            <w:r>
              <w:t>Vybraný uchazeč (prodávající) předvede a předá automobily zadavateli veřejné zakázky (kupujícímu) před budovou s</w:t>
            </w:r>
            <w:r w:rsidR="00835609">
              <w:t>ídl</w:t>
            </w:r>
            <w:r>
              <w:t>a</w:t>
            </w:r>
            <w:r w:rsidR="00835609">
              <w:t xml:space="preserve"> </w:t>
            </w:r>
            <w:r w:rsidR="00083CEB">
              <w:t>zadavatele, K. Čapka 589, 397 01 Písek</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7E6E16" w:rsidP="00D92737">
            <w:pPr>
              <w:pStyle w:val="Tabulkatext"/>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0832E1" w:rsidRDefault="000832E1" w:rsidP="000832E1">
            <w:pPr>
              <w:pStyle w:val="Bezmezer"/>
              <w:jc w:val="both"/>
              <w:rPr>
                <w:rFonts w:ascii="Arial" w:hAnsi="Arial" w:cs="Arial"/>
                <w:b/>
              </w:rPr>
            </w:pPr>
          </w:p>
          <w:p w:rsidR="000832E1" w:rsidRPr="000832E1" w:rsidRDefault="000832E1" w:rsidP="000832E1">
            <w:pPr>
              <w:pStyle w:val="Bezmezer"/>
              <w:numPr>
                <w:ilvl w:val="0"/>
                <w:numId w:val="32"/>
              </w:numPr>
              <w:jc w:val="both"/>
              <w:rPr>
                <w:rFonts w:ascii="Arial" w:hAnsi="Arial" w:cs="Arial"/>
                <w:b/>
                <w:sz w:val="20"/>
                <w:szCs w:val="20"/>
              </w:rPr>
            </w:pPr>
            <w:r w:rsidRPr="000832E1">
              <w:rPr>
                <w:rFonts w:ascii="Arial" w:hAnsi="Arial" w:cs="Arial"/>
                <w:b/>
                <w:sz w:val="20"/>
                <w:szCs w:val="20"/>
              </w:rPr>
              <w:t xml:space="preserve">Základním hodnotícím kritériem pro hodnocení nabídek je nejnižší nabídková cena.  </w:t>
            </w:r>
          </w:p>
          <w:p w:rsidR="000832E1" w:rsidRPr="000832E1" w:rsidRDefault="000832E1" w:rsidP="000832E1">
            <w:pPr>
              <w:pStyle w:val="Bezmezer"/>
              <w:jc w:val="both"/>
              <w:rPr>
                <w:rFonts w:ascii="Arial" w:hAnsi="Arial" w:cs="Arial"/>
                <w:sz w:val="20"/>
                <w:szCs w:val="20"/>
              </w:rPr>
            </w:pPr>
          </w:p>
          <w:tbl>
            <w:tblPr>
              <w:tblpPr w:leftFromText="141" w:rightFromText="141" w:vertAnchor="text" w:horzAnchor="margin" w:tblpXSpec="center" w:tblpY="-73"/>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3656"/>
            </w:tblGrid>
            <w:tr w:rsidR="000832E1" w:rsidRPr="000832E1" w:rsidTr="007A1472">
              <w:trPr>
                <w:trHeight w:val="107"/>
              </w:trPr>
              <w:tc>
                <w:tcPr>
                  <w:tcW w:w="3656" w:type="dxa"/>
                </w:tcPr>
                <w:p w:rsidR="000832E1" w:rsidRPr="000832E1" w:rsidRDefault="000832E1" w:rsidP="000832E1">
                  <w:pPr>
                    <w:pStyle w:val="Default"/>
                    <w:jc w:val="both"/>
                    <w:rPr>
                      <w:sz w:val="20"/>
                      <w:szCs w:val="20"/>
                    </w:rPr>
                  </w:pPr>
                  <w:r w:rsidRPr="000832E1">
                    <w:rPr>
                      <w:b/>
                      <w:bCs/>
                      <w:sz w:val="20"/>
                      <w:szCs w:val="20"/>
                    </w:rPr>
                    <w:t>Název kritéria</w:t>
                  </w:r>
                </w:p>
              </w:tc>
              <w:tc>
                <w:tcPr>
                  <w:tcW w:w="3656" w:type="dxa"/>
                </w:tcPr>
                <w:p w:rsidR="000832E1" w:rsidRPr="000832E1" w:rsidRDefault="000832E1" w:rsidP="000832E1">
                  <w:pPr>
                    <w:pStyle w:val="Default"/>
                    <w:jc w:val="both"/>
                    <w:rPr>
                      <w:sz w:val="20"/>
                      <w:szCs w:val="20"/>
                    </w:rPr>
                  </w:pPr>
                  <w:r w:rsidRPr="000832E1">
                    <w:rPr>
                      <w:b/>
                      <w:bCs/>
                      <w:sz w:val="20"/>
                      <w:szCs w:val="20"/>
                    </w:rPr>
                    <w:t>Váha kritéria v %</w:t>
                  </w:r>
                </w:p>
              </w:tc>
            </w:tr>
            <w:tr w:rsidR="000832E1" w:rsidRPr="000832E1" w:rsidTr="007A1472">
              <w:trPr>
                <w:trHeight w:val="109"/>
              </w:trPr>
              <w:tc>
                <w:tcPr>
                  <w:tcW w:w="3656" w:type="dxa"/>
                </w:tcPr>
                <w:p w:rsidR="000832E1" w:rsidRPr="000832E1" w:rsidRDefault="000832E1" w:rsidP="000832E1">
                  <w:pPr>
                    <w:pStyle w:val="Default"/>
                    <w:jc w:val="both"/>
                    <w:rPr>
                      <w:sz w:val="20"/>
                      <w:szCs w:val="20"/>
                    </w:rPr>
                  </w:pPr>
                  <w:r w:rsidRPr="000832E1">
                    <w:rPr>
                      <w:sz w:val="20"/>
                      <w:szCs w:val="20"/>
                    </w:rPr>
                    <w:t xml:space="preserve">Výše nabídkové ceny </w:t>
                  </w:r>
                </w:p>
              </w:tc>
              <w:tc>
                <w:tcPr>
                  <w:tcW w:w="3656" w:type="dxa"/>
                </w:tcPr>
                <w:p w:rsidR="000832E1" w:rsidRPr="000832E1" w:rsidRDefault="000832E1" w:rsidP="000832E1">
                  <w:pPr>
                    <w:pStyle w:val="Default"/>
                    <w:jc w:val="both"/>
                    <w:rPr>
                      <w:sz w:val="20"/>
                      <w:szCs w:val="20"/>
                    </w:rPr>
                  </w:pPr>
                  <w:r w:rsidRPr="000832E1">
                    <w:rPr>
                      <w:sz w:val="20"/>
                      <w:szCs w:val="20"/>
                    </w:rPr>
                    <w:t>100 %</w:t>
                  </w:r>
                </w:p>
              </w:tc>
            </w:tr>
          </w:tbl>
          <w:p w:rsidR="000832E1" w:rsidRPr="000832E1" w:rsidRDefault="000832E1" w:rsidP="000832E1">
            <w:pPr>
              <w:pStyle w:val="Bezmezer"/>
              <w:jc w:val="both"/>
              <w:rPr>
                <w:rFonts w:ascii="Arial" w:hAnsi="Arial" w:cs="Arial"/>
                <w:sz w:val="20"/>
                <w:szCs w:val="20"/>
              </w:rPr>
            </w:pPr>
          </w:p>
          <w:p w:rsidR="000832E1" w:rsidRPr="000832E1" w:rsidRDefault="000832E1" w:rsidP="000832E1">
            <w:pPr>
              <w:pStyle w:val="Bezmezer"/>
              <w:jc w:val="both"/>
              <w:rPr>
                <w:rFonts w:ascii="Arial" w:hAnsi="Arial" w:cs="Arial"/>
                <w:sz w:val="20"/>
                <w:szCs w:val="20"/>
              </w:rPr>
            </w:pPr>
          </w:p>
          <w:p w:rsidR="000832E1" w:rsidRPr="000832E1" w:rsidRDefault="000832E1" w:rsidP="000832E1">
            <w:pPr>
              <w:pStyle w:val="Bezmezer"/>
              <w:jc w:val="both"/>
              <w:rPr>
                <w:rFonts w:ascii="Arial" w:hAnsi="Arial" w:cs="Arial"/>
                <w:sz w:val="20"/>
                <w:szCs w:val="20"/>
              </w:rPr>
            </w:pPr>
          </w:p>
          <w:p w:rsidR="00E14E40" w:rsidRPr="000832E1" w:rsidRDefault="000832E1" w:rsidP="000832E1">
            <w:pPr>
              <w:pStyle w:val="Bezmezer"/>
              <w:spacing w:after="240"/>
              <w:jc w:val="both"/>
              <w:rPr>
                <w:rFonts w:ascii="Arial" w:hAnsi="Arial" w:cs="Arial"/>
                <w:szCs w:val="20"/>
              </w:rPr>
            </w:pPr>
            <w:r w:rsidRPr="000832E1">
              <w:rPr>
                <w:rFonts w:ascii="Arial" w:hAnsi="Arial" w:cs="Arial"/>
                <w:sz w:val="20"/>
                <w:szCs w:val="20"/>
              </w:rPr>
              <w:t>Hodnotit se bude celková nabídková cena v Kč bez DPH, a to tak, že jednotlivé nabídky budou seřazeny od nejnižší nabídkové ceny po nejvyšší, přičemž nejvýhodnější nabídkou bude nabídka s nejnižší nabídkovou cenou.</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FA16C8" w:rsidP="00FA16C8">
            <w:pPr>
              <w:pStyle w:val="Tabulkatext"/>
              <w:rPr>
                <w:b/>
                <w:bCs/>
              </w:rPr>
            </w:pPr>
            <w:r>
              <w:rPr>
                <w:b/>
                <w:bCs/>
              </w:rPr>
              <w:t>P</w:t>
            </w:r>
            <w:r w:rsidR="00E14E40" w:rsidRPr="00E50090">
              <w:rPr>
                <w:b/>
                <w:bCs/>
              </w:rPr>
              <w:t>ožadavky na prokázání kvalifikace dodavatele</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A33D97" w:rsidRPr="001D194E" w:rsidRDefault="00A33D97" w:rsidP="00A33D97">
            <w:pPr>
              <w:pStyle w:val="Tabulkatext"/>
              <w:ind w:left="0"/>
              <w:rPr>
                <w:rFonts w:cstheme="minorHAnsi"/>
                <w:szCs w:val="20"/>
              </w:rPr>
            </w:pPr>
            <w:r w:rsidRPr="001D194E">
              <w:rPr>
                <w:rFonts w:cstheme="minorHAnsi"/>
                <w:szCs w:val="20"/>
              </w:rPr>
              <w:t>Kvalifikaci splní dodavatel, který předloží:</w:t>
            </w:r>
          </w:p>
          <w:p w:rsidR="00A33D97" w:rsidRPr="001D194E" w:rsidRDefault="00A33D97" w:rsidP="00A33D97">
            <w:pPr>
              <w:pStyle w:val="Tabulkatext"/>
              <w:ind w:left="0"/>
              <w:rPr>
                <w:rFonts w:cstheme="minorHAnsi"/>
                <w:szCs w:val="20"/>
              </w:rPr>
            </w:pPr>
          </w:p>
          <w:p w:rsidR="00A33D97" w:rsidRPr="001D194E" w:rsidRDefault="00A33D97" w:rsidP="00A33D97">
            <w:pPr>
              <w:pStyle w:val="Tabulkatext"/>
              <w:numPr>
                <w:ilvl w:val="0"/>
                <w:numId w:val="27"/>
              </w:numPr>
              <w:rPr>
                <w:rFonts w:cstheme="minorHAnsi"/>
                <w:szCs w:val="20"/>
              </w:rPr>
            </w:pPr>
            <w:r w:rsidRPr="001D194E">
              <w:rPr>
                <w:rFonts w:cstheme="minorHAnsi"/>
                <w:szCs w:val="20"/>
                <w:u w:val="single"/>
              </w:rPr>
              <w:t xml:space="preserve">Doklad o splnění základní způsobilosti </w:t>
            </w:r>
            <w:r w:rsidRPr="001D194E">
              <w:rPr>
                <w:rFonts w:cstheme="minorHAnsi"/>
                <w:szCs w:val="20"/>
              </w:rPr>
              <w:t>– účastník prokáže čestným prohlášením, že jde o účastníka:</w:t>
            </w:r>
          </w:p>
          <w:p w:rsidR="00A33D97" w:rsidRPr="001D194E" w:rsidRDefault="00A33D97" w:rsidP="00A33D97">
            <w:pPr>
              <w:pStyle w:val="Zkladntext"/>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706"/>
              </w:tabs>
              <w:spacing w:after="120"/>
              <w:rPr>
                <w:rFonts w:asciiTheme="minorHAnsi" w:hAnsiTheme="minorHAnsi" w:cstheme="minorHAnsi"/>
                <w:sz w:val="20"/>
                <w:szCs w:val="20"/>
              </w:rPr>
            </w:pPr>
            <w:proofErr w:type="spellStart"/>
            <w:r w:rsidRPr="001D194E">
              <w:rPr>
                <w:rFonts w:asciiTheme="minorHAnsi" w:hAnsiTheme="minorHAnsi" w:cstheme="minorHAnsi"/>
                <w:sz w:val="20"/>
                <w:szCs w:val="20"/>
              </w:rPr>
              <w:t>který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nebyl</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zemi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svého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posledních</w:t>
            </w:r>
            <w:proofErr w:type="spellEnd"/>
            <w:r w:rsidRPr="001D194E">
              <w:rPr>
                <w:rFonts w:asciiTheme="minorHAnsi" w:hAnsiTheme="minorHAnsi" w:cstheme="minorHAnsi"/>
                <w:sz w:val="20"/>
                <w:szCs w:val="20"/>
              </w:rPr>
              <w:t xml:space="preserve"> 5 </w:t>
            </w:r>
            <w:proofErr w:type="spellStart"/>
            <w:r w:rsidRPr="001D194E">
              <w:rPr>
                <w:rFonts w:asciiTheme="minorHAnsi" w:hAnsiTheme="minorHAnsi" w:cstheme="minorHAnsi"/>
                <w:sz w:val="20"/>
                <w:szCs w:val="20"/>
              </w:rPr>
              <w:t>letech</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před</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zahájením</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zadávacího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řízení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pravomocně</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odsouzen</w:t>
            </w:r>
            <w:proofErr w:type="spellEnd"/>
            <w:r w:rsidRPr="001D194E">
              <w:rPr>
                <w:rFonts w:asciiTheme="minorHAnsi" w:hAnsiTheme="minorHAnsi" w:cstheme="minorHAnsi"/>
                <w:sz w:val="20"/>
                <w:szCs w:val="20"/>
              </w:rPr>
              <w:t xml:space="preserve"> pro </w:t>
            </w:r>
            <w:proofErr w:type="spellStart"/>
            <w:r w:rsidRPr="001D194E">
              <w:rPr>
                <w:rFonts w:asciiTheme="minorHAnsi" w:hAnsiTheme="minorHAnsi" w:cstheme="minorHAnsi"/>
                <w:sz w:val="20"/>
                <w:szCs w:val="20"/>
              </w:rPr>
              <w:t>trestný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čin</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uvedený</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příloze</w:t>
            </w:r>
            <w:proofErr w:type="spellEnd"/>
            <w:r w:rsidRPr="001D194E">
              <w:rPr>
                <w:rFonts w:asciiTheme="minorHAnsi" w:hAnsiTheme="minorHAnsi" w:cstheme="minorHAnsi"/>
                <w:sz w:val="20"/>
                <w:szCs w:val="20"/>
              </w:rPr>
              <w:t xml:space="preserve"> č. 3 k </w:t>
            </w:r>
            <w:proofErr w:type="spellStart"/>
            <w:r w:rsidRPr="00244DFD">
              <w:rPr>
                <w:rFonts w:asciiTheme="minorHAnsi" w:hAnsiTheme="minorHAnsi" w:cstheme="minorHAnsi"/>
                <w:sz w:val="20"/>
                <w:szCs w:val="20"/>
              </w:rPr>
              <w:t>zákonu</w:t>
            </w:r>
            <w:proofErr w:type="spellEnd"/>
            <w:r w:rsidRPr="00244DFD">
              <w:rPr>
                <w:rFonts w:asciiTheme="minorHAnsi" w:hAnsiTheme="minorHAnsi" w:cstheme="minorHAnsi"/>
                <w:sz w:val="20"/>
                <w:szCs w:val="20"/>
              </w:rPr>
              <w:t xml:space="preserve"> č. 134/2016</w:t>
            </w:r>
            <w:r w:rsidRPr="001D194E">
              <w:rPr>
                <w:rFonts w:asciiTheme="minorHAnsi" w:hAnsiTheme="minorHAnsi" w:cstheme="minorHAnsi"/>
                <w:sz w:val="20"/>
                <w:szCs w:val="20"/>
              </w:rPr>
              <w:t xml:space="preserve"> Sb., o </w:t>
            </w:r>
            <w:proofErr w:type="spellStart"/>
            <w:r w:rsidRPr="001D194E">
              <w:rPr>
                <w:rFonts w:asciiTheme="minorHAnsi" w:hAnsiTheme="minorHAnsi" w:cstheme="minorHAnsi"/>
                <w:sz w:val="20"/>
                <w:szCs w:val="20"/>
              </w:rPr>
              <w:t>zadávání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veřejných</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zakázek</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obdobný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trestní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čin</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podle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právního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řádu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země</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dodavatele</w:t>
            </w:r>
            <w:proofErr w:type="spellEnd"/>
            <w:r w:rsidRPr="001D194E">
              <w:rPr>
                <w:rFonts w:asciiTheme="minorHAnsi" w:hAnsiTheme="minorHAnsi" w:cstheme="minorHAnsi"/>
                <w:sz w:val="20"/>
                <w:szCs w:val="20"/>
              </w:rPr>
              <w:t>; k </w:t>
            </w:r>
            <w:proofErr w:type="spellStart"/>
            <w:r w:rsidRPr="001D194E">
              <w:rPr>
                <w:rFonts w:asciiTheme="minorHAnsi" w:hAnsiTheme="minorHAnsi" w:cstheme="minorHAnsi"/>
                <w:sz w:val="20"/>
                <w:szCs w:val="20"/>
              </w:rPr>
              <w:t>zahlazeným</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odsouzením</w:t>
            </w:r>
            <w:proofErr w:type="spellEnd"/>
            <w:r w:rsidRPr="001D194E">
              <w:rPr>
                <w:rFonts w:asciiTheme="minorHAnsi" w:hAnsiTheme="minorHAnsi" w:cstheme="minorHAnsi"/>
                <w:sz w:val="20"/>
                <w:szCs w:val="20"/>
              </w:rPr>
              <w:t xml:space="preserve"> se </w:t>
            </w:r>
            <w:proofErr w:type="spellStart"/>
            <w:r w:rsidRPr="001D194E">
              <w:rPr>
                <w:rFonts w:asciiTheme="minorHAnsi" w:hAnsiTheme="minorHAnsi" w:cstheme="minorHAnsi"/>
                <w:sz w:val="20"/>
                <w:szCs w:val="20"/>
              </w:rPr>
              <w:t>nepřihlíží</w:t>
            </w:r>
            <w:proofErr w:type="spellEnd"/>
            <w:r w:rsidRPr="001D194E">
              <w:rPr>
                <w:rFonts w:asciiTheme="minorHAnsi" w:hAnsiTheme="minorHAnsi" w:cstheme="minorHAnsi"/>
                <w:sz w:val="20"/>
                <w:szCs w:val="20"/>
              </w:rPr>
              <w:t>,</w:t>
            </w:r>
          </w:p>
          <w:p w:rsidR="00A33D97" w:rsidRPr="001D194E" w:rsidRDefault="00A33D97" w:rsidP="00A33D97">
            <w:pPr>
              <w:pStyle w:val="Zkladntext"/>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709"/>
              </w:tabs>
              <w:spacing w:after="120"/>
              <w:rPr>
                <w:rFonts w:asciiTheme="minorHAnsi" w:hAnsiTheme="minorHAnsi" w:cstheme="minorHAnsi"/>
                <w:sz w:val="20"/>
                <w:szCs w:val="20"/>
              </w:rPr>
            </w:pPr>
            <w:proofErr w:type="spellStart"/>
            <w:r w:rsidRPr="001D194E">
              <w:rPr>
                <w:rFonts w:asciiTheme="minorHAnsi" w:hAnsiTheme="minorHAnsi" w:cstheme="minorHAnsi"/>
                <w:sz w:val="20"/>
                <w:szCs w:val="20"/>
              </w:rPr>
              <w:lastRenderedPageBreak/>
              <w:t>který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nemá</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České</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republice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zemi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svého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splatný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daňový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nedoplatek</w:t>
            </w:r>
            <w:proofErr w:type="spellEnd"/>
            <w:r w:rsidRPr="001D194E">
              <w:rPr>
                <w:rFonts w:asciiTheme="minorHAnsi" w:hAnsiTheme="minorHAnsi" w:cstheme="minorHAnsi"/>
                <w:sz w:val="20"/>
                <w:szCs w:val="20"/>
              </w:rPr>
              <w:t>,</w:t>
            </w:r>
          </w:p>
          <w:p w:rsidR="00A33D97" w:rsidRPr="001D194E" w:rsidRDefault="00A33D97" w:rsidP="00A33D97">
            <w:pPr>
              <w:pStyle w:val="Zkladntext"/>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709"/>
              </w:tabs>
              <w:spacing w:after="120"/>
              <w:rPr>
                <w:rFonts w:asciiTheme="minorHAnsi" w:hAnsiTheme="minorHAnsi" w:cstheme="minorHAnsi"/>
                <w:sz w:val="20"/>
                <w:szCs w:val="20"/>
              </w:rPr>
            </w:pPr>
            <w:proofErr w:type="spellStart"/>
            <w:r w:rsidRPr="001D194E">
              <w:rPr>
                <w:rFonts w:asciiTheme="minorHAnsi" w:hAnsiTheme="minorHAnsi" w:cstheme="minorHAnsi"/>
                <w:sz w:val="20"/>
                <w:szCs w:val="20"/>
              </w:rPr>
              <w:t>který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nemá</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České</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republice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zemi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svého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splatný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nedoplatek</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pojistném</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penále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veřejné</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zdravotní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pojištění</w:t>
            </w:r>
            <w:proofErr w:type="spellEnd"/>
            <w:r w:rsidRPr="001D194E">
              <w:rPr>
                <w:rFonts w:asciiTheme="minorHAnsi" w:hAnsiTheme="minorHAnsi" w:cstheme="minorHAnsi"/>
                <w:sz w:val="20"/>
                <w:szCs w:val="20"/>
              </w:rPr>
              <w:t>,</w:t>
            </w:r>
          </w:p>
          <w:p w:rsidR="00A33D97" w:rsidRPr="001D194E" w:rsidRDefault="00A33D97" w:rsidP="00A33D97">
            <w:pPr>
              <w:pStyle w:val="Zkladntext"/>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709"/>
              </w:tabs>
              <w:spacing w:after="120"/>
              <w:rPr>
                <w:rFonts w:asciiTheme="minorHAnsi" w:hAnsiTheme="minorHAnsi" w:cstheme="minorHAnsi"/>
                <w:sz w:val="20"/>
                <w:szCs w:val="20"/>
              </w:rPr>
            </w:pPr>
            <w:proofErr w:type="spellStart"/>
            <w:r w:rsidRPr="001D194E">
              <w:rPr>
                <w:rFonts w:asciiTheme="minorHAnsi" w:hAnsiTheme="minorHAnsi" w:cstheme="minorHAnsi"/>
                <w:sz w:val="20"/>
                <w:szCs w:val="20"/>
              </w:rPr>
              <w:t>který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nemá</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České</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republice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zemi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svého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splatný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nedoplatek</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pojistném</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penále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sociální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zabezpečení</w:t>
            </w:r>
            <w:proofErr w:type="spellEnd"/>
            <w:r w:rsidRPr="001D194E">
              <w:rPr>
                <w:rFonts w:asciiTheme="minorHAnsi" w:hAnsiTheme="minorHAnsi" w:cstheme="minorHAnsi"/>
                <w:sz w:val="20"/>
                <w:szCs w:val="20"/>
              </w:rPr>
              <w:t xml:space="preserve"> a </w:t>
            </w:r>
            <w:proofErr w:type="spellStart"/>
            <w:r w:rsidRPr="001D194E">
              <w:rPr>
                <w:rFonts w:asciiTheme="minorHAnsi" w:hAnsiTheme="minorHAnsi" w:cstheme="minorHAnsi"/>
                <w:sz w:val="20"/>
                <w:szCs w:val="20"/>
              </w:rPr>
              <w:t>příspěvku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státní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politiku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zaměstnanosti</w:t>
            </w:r>
            <w:proofErr w:type="spellEnd"/>
            <w:r w:rsidRPr="001D194E">
              <w:rPr>
                <w:rFonts w:asciiTheme="minorHAnsi" w:hAnsiTheme="minorHAnsi" w:cstheme="minorHAnsi"/>
                <w:sz w:val="20"/>
                <w:szCs w:val="20"/>
              </w:rPr>
              <w:t>,</w:t>
            </w:r>
          </w:p>
          <w:p w:rsidR="00A33D97" w:rsidRPr="001D194E" w:rsidRDefault="00A33D97" w:rsidP="00A33D97">
            <w:pPr>
              <w:pStyle w:val="Zkladntext"/>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709"/>
              </w:tabs>
              <w:spacing w:after="120"/>
              <w:rPr>
                <w:rFonts w:asciiTheme="minorHAnsi" w:hAnsiTheme="minorHAnsi" w:cstheme="minorHAnsi"/>
                <w:sz w:val="20"/>
                <w:szCs w:val="20"/>
              </w:rPr>
            </w:pPr>
            <w:proofErr w:type="spellStart"/>
            <w:r w:rsidRPr="001D194E">
              <w:rPr>
                <w:rFonts w:asciiTheme="minorHAnsi" w:hAnsiTheme="minorHAnsi" w:cstheme="minorHAnsi"/>
                <w:sz w:val="20"/>
                <w:szCs w:val="20"/>
              </w:rPr>
              <w:t>který</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není</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likvidaci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proti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němuž</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bylo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vydáno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rozhodnutí</w:t>
            </w:r>
            <w:proofErr w:type="spellEnd"/>
            <w:r w:rsidRPr="001D194E">
              <w:rPr>
                <w:rFonts w:asciiTheme="minorHAnsi" w:hAnsiTheme="minorHAnsi" w:cstheme="minorHAnsi"/>
                <w:sz w:val="20"/>
                <w:szCs w:val="20"/>
              </w:rPr>
              <w:t xml:space="preserve"> o </w:t>
            </w:r>
            <w:proofErr w:type="spellStart"/>
            <w:r w:rsidRPr="001D194E">
              <w:rPr>
                <w:rFonts w:asciiTheme="minorHAnsi" w:hAnsiTheme="minorHAnsi" w:cstheme="minorHAnsi"/>
                <w:sz w:val="20"/>
                <w:szCs w:val="20"/>
              </w:rPr>
              <w:t>úpadku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vůči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němuž</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byla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nařízena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nucená</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správa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podle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jiného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právního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předpisu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nebo</w:t>
            </w:r>
            <w:proofErr w:type="spellEnd"/>
            <w:r w:rsidRPr="001D194E">
              <w:rPr>
                <w:rFonts w:asciiTheme="minorHAnsi" w:hAnsiTheme="minorHAnsi" w:cstheme="minorHAnsi"/>
                <w:sz w:val="20"/>
                <w:szCs w:val="20"/>
              </w:rPr>
              <w:t xml:space="preserve"> v </w:t>
            </w:r>
            <w:proofErr w:type="spellStart"/>
            <w:r w:rsidRPr="001D194E">
              <w:rPr>
                <w:rFonts w:asciiTheme="minorHAnsi" w:hAnsiTheme="minorHAnsi" w:cstheme="minorHAnsi"/>
                <w:sz w:val="20"/>
                <w:szCs w:val="20"/>
              </w:rPr>
              <w:t>obdobné</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situaci</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podle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právního</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řádu</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země</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sídla</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dodavatele</w:t>
            </w:r>
            <w:proofErr w:type="spellEnd"/>
            <w:r w:rsidRPr="001D194E">
              <w:rPr>
                <w:rFonts w:asciiTheme="minorHAnsi" w:hAnsiTheme="minorHAnsi" w:cstheme="minorHAnsi"/>
                <w:sz w:val="20"/>
                <w:szCs w:val="20"/>
              </w:rPr>
              <w:t>.</w:t>
            </w:r>
          </w:p>
          <w:p w:rsidR="00A33D97" w:rsidRPr="001D194E" w:rsidRDefault="00A33D97" w:rsidP="00A33D97">
            <w:pPr>
              <w:pStyle w:val="Zkladntext"/>
              <w:tabs>
                <w:tab w:val="left" w:pos="567"/>
                <w:tab w:val="left" w:pos="993"/>
              </w:tabs>
              <w:ind w:left="567"/>
              <w:rPr>
                <w:rFonts w:asciiTheme="minorHAnsi" w:hAnsiTheme="minorHAnsi" w:cstheme="minorHAnsi"/>
                <w:sz w:val="20"/>
                <w:szCs w:val="20"/>
              </w:rPr>
            </w:pPr>
          </w:p>
          <w:p w:rsidR="00A33D97" w:rsidRPr="001D194E" w:rsidRDefault="00A33D97" w:rsidP="001D194E">
            <w:pPr>
              <w:pStyle w:val="Zkladntext"/>
              <w:tabs>
                <w:tab w:val="left" w:pos="567"/>
                <w:tab w:val="left" w:pos="993"/>
              </w:tabs>
              <w:ind w:left="567"/>
              <w:rPr>
                <w:rFonts w:asciiTheme="minorHAnsi" w:hAnsiTheme="minorHAnsi" w:cstheme="minorHAnsi"/>
                <w:color w:val="000000"/>
                <w:sz w:val="20"/>
                <w:szCs w:val="20"/>
              </w:rPr>
            </w:pPr>
            <w:proofErr w:type="spellStart"/>
            <w:r w:rsidRPr="001D194E">
              <w:rPr>
                <w:rFonts w:asciiTheme="minorHAnsi" w:hAnsiTheme="minorHAnsi" w:cstheme="minorHAnsi"/>
                <w:sz w:val="20"/>
                <w:szCs w:val="20"/>
              </w:rPr>
              <w:t>Účastník</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předloží</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originál</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b/>
                <w:sz w:val="20"/>
                <w:szCs w:val="20"/>
              </w:rPr>
              <w:t>čestného</w:t>
            </w:r>
            <w:proofErr w:type="spellEnd"/>
            <w:r w:rsidRPr="001D194E">
              <w:rPr>
                <w:rFonts w:asciiTheme="minorHAnsi" w:hAnsiTheme="minorHAnsi" w:cstheme="minorHAnsi"/>
                <w:b/>
                <w:sz w:val="20"/>
                <w:szCs w:val="20"/>
              </w:rPr>
              <w:t xml:space="preserve"> </w:t>
            </w:r>
            <w:proofErr w:type="spellStart"/>
            <w:r w:rsidRPr="001D194E">
              <w:rPr>
                <w:rFonts w:asciiTheme="minorHAnsi" w:hAnsiTheme="minorHAnsi" w:cstheme="minorHAnsi"/>
                <w:b/>
                <w:sz w:val="20"/>
                <w:szCs w:val="20"/>
              </w:rPr>
              <w:t>prohlášení</w:t>
            </w:r>
            <w:proofErr w:type="spellEnd"/>
            <w:r w:rsidRPr="001D194E">
              <w:rPr>
                <w:rFonts w:asciiTheme="minorHAnsi" w:hAnsiTheme="minorHAnsi" w:cstheme="minorHAnsi"/>
                <w:sz w:val="20"/>
                <w:szCs w:val="20"/>
              </w:rPr>
              <w:t xml:space="preserve"> o tom, </w:t>
            </w:r>
            <w:proofErr w:type="spellStart"/>
            <w:r w:rsidRPr="001D194E">
              <w:rPr>
                <w:rFonts w:asciiTheme="minorHAnsi" w:hAnsiTheme="minorHAnsi" w:cstheme="minorHAnsi"/>
                <w:sz w:val="20"/>
                <w:szCs w:val="20"/>
              </w:rPr>
              <w:t>že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splňuje</w:t>
            </w:r>
            <w:proofErr w:type="spellEnd"/>
            <w:r w:rsidRPr="001D194E">
              <w:rPr>
                <w:rFonts w:asciiTheme="minorHAnsi" w:hAnsiTheme="minorHAnsi" w:cstheme="minorHAnsi"/>
                <w:sz w:val="20"/>
                <w:szCs w:val="20"/>
              </w:rPr>
              <w:t xml:space="preserve"> </w:t>
            </w:r>
            <w:proofErr w:type="spellStart"/>
            <w:r w:rsidRPr="001D194E">
              <w:rPr>
                <w:rFonts w:asciiTheme="minorHAnsi" w:hAnsiTheme="minorHAnsi" w:cstheme="minorHAnsi"/>
                <w:sz w:val="20"/>
                <w:szCs w:val="20"/>
              </w:rPr>
              <w:t>základní</w:t>
            </w:r>
            <w:proofErr w:type="spellEnd"/>
            <w:r w:rsidRPr="001D194E">
              <w:rPr>
                <w:rFonts w:asciiTheme="minorHAnsi" w:hAnsiTheme="minorHAnsi" w:cstheme="minorHAnsi"/>
                <w:color w:val="000000"/>
                <w:sz w:val="20"/>
                <w:szCs w:val="20"/>
              </w:rPr>
              <w:t xml:space="preserve"> </w:t>
            </w:r>
            <w:proofErr w:type="spellStart"/>
            <w:r w:rsidRPr="001D194E">
              <w:rPr>
                <w:rFonts w:asciiTheme="minorHAnsi" w:hAnsiTheme="minorHAnsi" w:cstheme="minorHAnsi"/>
                <w:color w:val="000000"/>
                <w:sz w:val="20"/>
                <w:szCs w:val="20"/>
              </w:rPr>
              <w:t>způsobilost</w:t>
            </w:r>
            <w:proofErr w:type="spellEnd"/>
            <w:r w:rsidRPr="001D194E">
              <w:rPr>
                <w:rFonts w:asciiTheme="minorHAnsi" w:hAnsiTheme="minorHAnsi" w:cstheme="minorHAnsi"/>
                <w:color w:val="000000"/>
                <w:sz w:val="20"/>
                <w:szCs w:val="20"/>
              </w:rPr>
              <w:t>.</w:t>
            </w:r>
          </w:p>
          <w:p w:rsidR="001D194E" w:rsidRDefault="001D194E" w:rsidP="001D194E">
            <w:pPr>
              <w:pStyle w:val="Zkladntext"/>
              <w:tabs>
                <w:tab w:val="left" w:pos="567"/>
                <w:tab w:val="left" w:pos="993"/>
              </w:tabs>
              <w:ind w:left="567"/>
              <w:rPr>
                <w:rFonts w:asciiTheme="minorHAnsi" w:hAnsiTheme="minorHAnsi" w:cstheme="minorHAnsi"/>
                <w:color w:val="000000"/>
                <w:sz w:val="20"/>
                <w:szCs w:val="20"/>
              </w:rPr>
            </w:pPr>
          </w:p>
          <w:p w:rsidR="001D194E" w:rsidRPr="001D194E" w:rsidRDefault="001D194E" w:rsidP="001D194E">
            <w:pPr>
              <w:pStyle w:val="Zkladntext"/>
              <w:tabs>
                <w:tab w:val="left" w:pos="567"/>
                <w:tab w:val="left" w:pos="993"/>
              </w:tabs>
              <w:ind w:left="567"/>
              <w:rPr>
                <w:rFonts w:asciiTheme="minorHAnsi" w:hAnsiTheme="minorHAnsi" w:cstheme="minorHAnsi"/>
                <w:color w:val="000000"/>
                <w:sz w:val="20"/>
                <w:szCs w:val="20"/>
              </w:rPr>
            </w:pPr>
          </w:p>
          <w:p w:rsidR="00A33D97" w:rsidRPr="001D194E" w:rsidRDefault="00A33D97" w:rsidP="001D194E">
            <w:pPr>
              <w:pStyle w:val="Tabulkatext"/>
              <w:numPr>
                <w:ilvl w:val="0"/>
                <w:numId w:val="27"/>
              </w:numPr>
              <w:jc w:val="both"/>
              <w:rPr>
                <w:rFonts w:cstheme="minorHAnsi"/>
                <w:szCs w:val="20"/>
                <w:u w:val="single"/>
              </w:rPr>
            </w:pPr>
            <w:r w:rsidRPr="001D194E">
              <w:rPr>
                <w:rFonts w:cstheme="minorHAnsi"/>
                <w:szCs w:val="20"/>
                <w:u w:val="single"/>
              </w:rPr>
              <w:t>Doklad o splnění profesní způsobilosti</w:t>
            </w:r>
          </w:p>
          <w:p w:rsidR="00A33D97" w:rsidRPr="001D194E" w:rsidRDefault="00A33D97" w:rsidP="001D194E">
            <w:pPr>
              <w:pStyle w:val="Tabulkatext"/>
              <w:numPr>
                <w:ilvl w:val="0"/>
                <w:numId w:val="30"/>
              </w:numPr>
              <w:jc w:val="both"/>
              <w:rPr>
                <w:rFonts w:cstheme="minorHAnsi"/>
                <w:szCs w:val="20"/>
              </w:rPr>
            </w:pPr>
            <w:r w:rsidRPr="001D194E">
              <w:rPr>
                <w:rFonts w:cstheme="minorHAnsi"/>
                <w:szCs w:val="20"/>
              </w:rPr>
              <w:t>Výpis z obchodního rejstříku či jiné obdobné evidence ne starší než 3 měsíce ke dni podání nabídky, pokud je v něm/v ní účastník zapsán</w:t>
            </w:r>
            <w:r w:rsidR="00DE2562">
              <w:rPr>
                <w:rFonts w:cstheme="minorHAnsi"/>
                <w:szCs w:val="20"/>
              </w:rPr>
              <w:t>.</w:t>
            </w:r>
          </w:p>
          <w:p w:rsidR="001D194E" w:rsidRPr="001D194E" w:rsidRDefault="001D194E" w:rsidP="001D194E">
            <w:pPr>
              <w:pStyle w:val="Tabulkatext"/>
              <w:jc w:val="both"/>
              <w:rPr>
                <w:rFonts w:cstheme="minorHAnsi"/>
                <w:szCs w:val="20"/>
              </w:rPr>
            </w:pPr>
          </w:p>
          <w:p w:rsidR="00A33D97" w:rsidRDefault="00A33D97" w:rsidP="001D194E">
            <w:pPr>
              <w:pStyle w:val="Tabulkatext"/>
              <w:jc w:val="both"/>
              <w:rPr>
                <w:rFonts w:cstheme="minorHAnsi"/>
                <w:szCs w:val="20"/>
              </w:rPr>
            </w:pPr>
            <w:r w:rsidRPr="001D194E">
              <w:rPr>
                <w:rFonts w:cstheme="minorHAnsi"/>
                <w:szCs w:val="20"/>
              </w:rPr>
              <w:t>Veškeré informace a doklady prokazující splnění kvalifikace je dodavatel povinen prokázat ve lhůtě pro podání nabídky.</w:t>
            </w:r>
          </w:p>
          <w:p w:rsidR="00DE2562" w:rsidRPr="001D194E" w:rsidRDefault="00DE2562" w:rsidP="001D194E">
            <w:pPr>
              <w:pStyle w:val="Tabulkatext"/>
              <w:jc w:val="both"/>
              <w:rPr>
                <w:rFonts w:cstheme="minorHAnsi"/>
                <w:szCs w:val="20"/>
              </w:rPr>
            </w:pPr>
          </w:p>
          <w:p w:rsidR="00A33D97" w:rsidRDefault="00A33D97" w:rsidP="001D194E">
            <w:pPr>
              <w:pStyle w:val="Tabulkatext"/>
              <w:jc w:val="both"/>
              <w:rPr>
                <w:rFonts w:cstheme="minorHAnsi"/>
                <w:szCs w:val="20"/>
              </w:rPr>
            </w:pPr>
            <w:r w:rsidRPr="001D194E">
              <w:rPr>
                <w:rFonts w:cstheme="minorHAnsi"/>
                <w:szCs w:val="20"/>
              </w:rPr>
              <w:t>Dodavatel může prokázat základní a profesní způsobilost předložením výpisu ze seznamu kvalifikovaných dodavatelů, který k poslednímu dni, kdy má být kvalifikace prokázána, není starší než 3 měsíce.</w:t>
            </w:r>
          </w:p>
          <w:p w:rsidR="00DE2562" w:rsidRPr="001D194E" w:rsidRDefault="00DE2562" w:rsidP="001D194E">
            <w:pPr>
              <w:pStyle w:val="Tabulkatext"/>
              <w:jc w:val="both"/>
              <w:rPr>
                <w:rFonts w:cstheme="minorHAnsi"/>
                <w:szCs w:val="20"/>
              </w:rPr>
            </w:pPr>
          </w:p>
          <w:p w:rsidR="00A33D97" w:rsidRDefault="00A33D97" w:rsidP="001D194E">
            <w:pPr>
              <w:pStyle w:val="Tabulkatext"/>
              <w:jc w:val="both"/>
              <w:rPr>
                <w:rFonts w:cstheme="minorHAnsi"/>
                <w:szCs w:val="20"/>
              </w:rPr>
            </w:pPr>
            <w:r w:rsidRPr="001D194E">
              <w:rPr>
                <w:rFonts w:cstheme="minorHAnsi"/>
                <w:szCs w:val="20"/>
              </w:rPr>
              <w:t xml:space="preserve">Zadavatel při prokazování kvalifikace uzná prosté kopie dokladů o kvalifikaci dodavatele s tím, že účastník, se kterým bude následně uzavírána smlouva, bude v případě požadavku zadavatele povinen tyto doklady v originále nebo ověřené kopii před samotným uzavřením smlouvy dodat. </w:t>
            </w:r>
          </w:p>
          <w:p w:rsidR="00DE2562" w:rsidRPr="001D194E" w:rsidRDefault="00DE2562" w:rsidP="001D194E">
            <w:pPr>
              <w:pStyle w:val="Tabulkatext"/>
              <w:jc w:val="both"/>
              <w:rPr>
                <w:rFonts w:cstheme="minorHAnsi"/>
                <w:szCs w:val="20"/>
              </w:rPr>
            </w:pPr>
          </w:p>
          <w:p w:rsidR="00A33D97" w:rsidRDefault="00A33D97" w:rsidP="001D194E">
            <w:pPr>
              <w:pStyle w:val="Tabulkatext"/>
              <w:jc w:val="both"/>
              <w:rPr>
                <w:rFonts w:cstheme="minorHAnsi"/>
                <w:szCs w:val="20"/>
              </w:rPr>
            </w:pPr>
            <w:r w:rsidRPr="001D194E">
              <w:rPr>
                <w:rFonts w:cstheme="minorHAnsi"/>
                <w:szCs w:val="20"/>
              </w:rPr>
              <w:t>Je-li zadavatelem vyžadováno čestné prohlášení, musí být podepsáno osobou oprávněnou jednat jménem či za účastníka a nesmí být starší, než 3 měsíce ke dni podání nabídky. V případě podpisu jinou osobou musí být zmocnění této osoby součástí dokladů, kterými účastník prokazuje splnění kvalifikace.</w:t>
            </w:r>
          </w:p>
          <w:p w:rsidR="00DE2562" w:rsidRPr="001D194E" w:rsidRDefault="00DE2562" w:rsidP="001D194E">
            <w:pPr>
              <w:pStyle w:val="Tabulkatext"/>
              <w:jc w:val="both"/>
              <w:rPr>
                <w:rFonts w:cstheme="minorHAnsi"/>
                <w:szCs w:val="20"/>
              </w:rPr>
            </w:pPr>
          </w:p>
          <w:p w:rsidR="00A33D97" w:rsidRDefault="001D194E" w:rsidP="001D194E">
            <w:pPr>
              <w:pStyle w:val="Tabulkatext"/>
              <w:jc w:val="both"/>
              <w:rPr>
                <w:rFonts w:cstheme="minorHAnsi"/>
                <w:szCs w:val="20"/>
              </w:rPr>
            </w:pPr>
            <w:r w:rsidRPr="001D194E">
              <w:rPr>
                <w:rFonts w:cstheme="minorHAnsi"/>
                <w:szCs w:val="20"/>
              </w:rPr>
              <w:t xml:space="preserve">Veškerá výše požadovaná čestná prohlášení mohou být účastníkem poskytnuta v rámci jediného dokumentu. </w:t>
            </w:r>
          </w:p>
          <w:p w:rsidR="00DE2562" w:rsidRPr="001D194E" w:rsidRDefault="00DE2562" w:rsidP="001D194E">
            <w:pPr>
              <w:pStyle w:val="Tabulkatext"/>
              <w:jc w:val="both"/>
              <w:rPr>
                <w:rFonts w:cstheme="minorHAnsi"/>
                <w:szCs w:val="20"/>
              </w:rPr>
            </w:pPr>
          </w:p>
          <w:p w:rsidR="001D194E" w:rsidRPr="00A33D97" w:rsidRDefault="001D194E" w:rsidP="001D194E">
            <w:pPr>
              <w:pStyle w:val="Tabulkatext"/>
              <w:jc w:val="both"/>
              <w:rPr>
                <w:rFonts w:cstheme="minorHAnsi"/>
                <w:sz w:val="22"/>
              </w:rPr>
            </w:pPr>
            <w:r w:rsidRPr="001D194E">
              <w:rPr>
                <w:rFonts w:cstheme="minorHAnsi"/>
                <w:szCs w:val="20"/>
              </w:rPr>
              <w:t xml:space="preserve">Neprokáže-li účastník splnění kvalifikace v plném rozsahu, bude vyloučen z výběrového řízení. </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D92737">
            <w:pPr>
              <w:pStyle w:val="Tabulkatext"/>
              <w:rPr>
                <w:i/>
              </w:rPr>
            </w:pPr>
            <w:r w:rsidRPr="00E50090">
              <w:rPr>
                <w:b/>
                <w:bCs/>
              </w:rPr>
              <w:lastRenderedPageBreak/>
              <w:t>Podmínky a požadavky na zpracování nabídky</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0832E1" w:rsidRDefault="000832E1" w:rsidP="000832E1">
            <w:pPr>
              <w:pStyle w:val="Tabulkatext"/>
              <w:jc w:val="both"/>
              <w:rPr>
                <w:rFonts w:cstheme="minorHAnsi"/>
                <w:szCs w:val="20"/>
              </w:rPr>
            </w:pPr>
            <w:r w:rsidRPr="000832E1">
              <w:rPr>
                <w:rFonts w:cstheme="minorHAnsi"/>
                <w:szCs w:val="20"/>
              </w:rPr>
              <w:t xml:space="preserve">Nabídka bude podána v jednom originále v písemné listinné formě a bude zpracována v českém jazyce. </w:t>
            </w:r>
          </w:p>
          <w:p w:rsidR="00DE2562" w:rsidRPr="000832E1" w:rsidRDefault="00DE2562" w:rsidP="000832E1">
            <w:pPr>
              <w:pStyle w:val="Tabulkatext"/>
              <w:jc w:val="both"/>
              <w:rPr>
                <w:rFonts w:cstheme="minorHAnsi"/>
                <w:szCs w:val="20"/>
              </w:rPr>
            </w:pPr>
          </w:p>
          <w:p w:rsidR="000832E1" w:rsidRDefault="000832E1" w:rsidP="000832E1">
            <w:pPr>
              <w:pStyle w:val="Tabulkatext"/>
              <w:jc w:val="both"/>
              <w:rPr>
                <w:rFonts w:cstheme="minorHAnsi"/>
                <w:szCs w:val="20"/>
              </w:rPr>
            </w:pPr>
            <w:r w:rsidRPr="000832E1">
              <w:rPr>
                <w:rFonts w:cstheme="minorHAnsi"/>
                <w:szCs w:val="20"/>
              </w:rPr>
              <w:t>Nabídky se podávají písemně v uzavřené obálce (řádně zajištěné proti samovolnému otevření) s označením názvu veřejné zakázky a s uvedením výzvy „NEOTEVÍRAT“. Veškeré součásti nabídky musí být poskytnuty v jedné obálce. Všechny listy nabídky budou navzájem pevně spojeny či sešity tak, aby byly dostatečně zabezpečeny před jejich vyjmutím z nabídky. Všechny výtisky budou řádně čitelné, bez škrtů a přepisů. Zadavatel doporučuje, aby všechny stránky nabídky byly očíslovány vzestupnou řadou. Nabídka bude zajištěna proti neoprávněné manipulaci.</w:t>
            </w:r>
          </w:p>
          <w:p w:rsidR="00DE2562" w:rsidRPr="000832E1" w:rsidRDefault="00DE2562" w:rsidP="000832E1">
            <w:pPr>
              <w:pStyle w:val="Tabulkatext"/>
              <w:jc w:val="both"/>
              <w:rPr>
                <w:rFonts w:cstheme="minorHAnsi"/>
                <w:szCs w:val="20"/>
              </w:rPr>
            </w:pPr>
          </w:p>
          <w:p w:rsidR="000832E1" w:rsidRPr="000832E1" w:rsidRDefault="000832E1" w:rsidP="000832E1">
            <w:pPr>
              <w:pStyle w:val="Tabulkatext"/>
              <w:jc w:val="both"/>
              <w:rPr>
                <w:rFonts w:cstheme="minorHAnsi"/>
                <w:szCs w:val="20"/>
              </w:rPr>
            </w:pPr>
            <w:r w:rsidRPr="000832E1">
              <w:rPr>
                <w:rFonts w:cstheme="minorHAnsi"/>
                <w:szCs w:val="20"/>
              </w:rPr>
              <w:t>Na obálce musí být uvedena adresa (včetně IČO), na níž je možné vyrozumět účastníka o tom, že jeho nabídka byla podána po uplynutí lhůty pro podání nabídek.</w:t>
            </w:r>
          </w:p>
          <w:p w:rsidR="000832E1" w:rsidRDefault="000832E1" w:rsidP="000832E1">
            <w:pPr>
              <w:pStyle w:val="Tabulkatext"/>
              <w:jc w:val="both"/>
              <w:rPr>
                <w:rFonts w:cstheme="minorHAnsi"/>
                <w:szCs w:val="20"/>
              </w:rPr>
            </w:pPr>
            <w:r w:rsidRPr="000832E1">
              <w:rPr>
                <w:rFonts w:cstheme="minorHAnsi"/>
                <w:szCs w:val="20"/>
              </w:rPr>
              <w:lastRenderedPageBreak/>
              <w:t>V nabídce musí být uvedeny identifikační údaje účastníka, zejména obchodní firma, sídlo, identifikační číslo, osoba oprávněná jednat jménem či za účastníka, příp. osoba oprávněná zastupovat účastníka, kontaktní adresa pro písemný styk mezi účastníkem a zadavatelem, email a telefonní kontakt. Na uvedený e-mail mohou být zasílány dokumenty týkající se výběrového řízení.</w:t>
            </w:r>
          </w:p>
          <w:p w:rsidR="00DE2562" w:rsidRPr="000832E1" w:rsidRDefault="00DE2562" w:rsidP="000832E1">
            <w:pPr>
              <w:pStyle w:val="Tabulkatext"/>
              <w:jc w:val="both"/>
              <w:rPr>
                <w:rFonts w:cstheme="minorHAnsi"/>
                <w:szCs w:val="20"/>
              </w:rPr>
            </w:pPr>
          </w:p>
          <w:p w:rsidR="000832E1" w:rsidRDefault="000832E1" w:rsidP="000832E1">
            <w:pPr>
              <w:pStyle w:val="Tabulkatext"/>
              <w:jc w:val="both"/>
              <w:rPr>
                <w:rFonts w:cstheme="minorHAnsi"/>
                <w:szCs w:val="20"/>
              </w:rPr>
            </w:pPr>
            <w:r w:rsidRPr="000832E1">
              <w:rPr>
                <w:rFonts w:cstheme="minorHAnsi"/>
                <w:szCs w:val="20"/>
              </w:rPr>
              <w:t>Doklady či prohlášení musí být řádně podepsány oprávněnou osobou (osobami) účastníka v souladu se způsobem podepisování uvedeným ve výpisu z Obchodního rejstříku nebo zástupcem zmocněným k tomuto úkonu podle právních předpisů. Originál nebo úředně ověřená kopie plné moci pak musí být součástí nabídky.</w:t>
            </w:r>
          </w:p>
          <w:p w:rsidR="000832E1" w:rsidRDefault="000832E1" w:rsidP="000832E1">
            <w:pPr>
              <w:pStyle w:val="Tabulkatext"/>
              <w:jc w:val="both"/>
              <w:rPr>
                <w:rFonts w:cstheme="minorHAnsi"/>
                <w:szCs w:val="20"/>
              </w:rPr>
            </w:pPr>
          </w:p>
          <w:p w:rsidR="000832E1" w:rsidRPr="000832E1" w:rsidRDefault="000832E1" w:rsidP="000832E1">
            <w:pPr>
              <w:pStyle w:val="Tabulkatext"/>
              <w:jc w:val="both"/>
              <w:rPr>
                <w:rFonts w:cstheme="minorHAnsi"/>
                <w:b/>
                <w:szCs w:val="20"/>
              </w:rPr>
            </w:pPr>
            <w:r w:rsidRPr="000832E1">
              <w:rPr>
                <w:rFonts w:cstheme="minorHAnsi"/>
                <w:b/>
                <w:szCs w:val="20"/>
              </w:rPr>
              <w:t>Kupní smlouva</w:t>
            </w:r>
          </w:p>
          <w:p w:rsidR="000832E1" w:rsidRDefault="000832E1" w:rsidP="000832E1">
            <w:pPr>
              <w:pStyle w:val="Tabulkatext"/>
              <w:jc w:val="both"/>
              <w:rPr>
                <w:rFonts w:cstheme="minorHAnsi"/>
                <w:szCs w:val="20"/>
              </w:rPr>
            </w:pPr>
            <w:r>
              <w:rPr>
                <w:rFonts w:cstheme="minorHAnsi"/>
                <w:szCs w:val="20"/>
              </w:rPr>
              <w:t xml:space="preserve">Účastník v nabídce doloží doplněný návrh kupní smlouvy (použije přílohu č. 1). Účastník pouze doplní požadované chybějící údaje a doplněnou Smlouvu, včetně přílohy, podepsanou osobou oprávněnou jednat jménem či za účastníka, učiní součástí nabídky jako návrh Smlouvy. </w:t>
            </w:r>
          </w:p>
          <w:p w:rsidR="00DE2562" w:rsidRDefault="00DE2562" w:rsidP="000832E1">
            <w:pPr>
              <w:pStyle w:val="Tabulkatext"/>
              <w:jc w:val="both"/>
              <w:rPr>
                <w:rFonts w:cstheme="minorHAnsi"/>
                <w:szCs w:val="20"/>
              </w:rPr>
            </w:pPr>
          </w:p>
          <w:p w:rsidR="000832E1" w:rsidRPr="000832E1" w:rsidRDefault="000832E1" w:rsidP="000832E1">
            <w:pPr>
              <w:pStyle w:val="Tabulkatext"/>
              <w:jc w:val="both"/>
              <w:rPr>
                <w:rFonts w:cstheme="minorHAnsi"/>
                <w:szCs w:val="20"/>
              </w:rPr>
            </w:pPr>
            <w:r>
              <w:rPr>
                <w:rFonts w:cstheme="minorHAnsi"/>
                <w:szCs w:val="20"/>
              </w:rPr>
              <w:t xml:space="preserve">Zhotovitel není oprávněn postoupit práva, povinnosti, závazky a pohledávky z uzavřené kupní smlouvy třetím osobám bez předchozího písemného souhlasu objednatele. </w:t>
            </w:r>
          </w:p>
          <w:p w:rsidR="002F4386" w:rsidRDefault="002F4386" w:rsidP="00DB5DBD">
            <w:pPr>
              <w:pStyle w:val="Tabulkatext"/>
              <w:rPr>
                <w:i/>
              </w:rPr>
            </w:pPr>
          </w:p>
          <w:p w:rsidR="000832E1" w:rsidRPr="000832E1" w:rsidRDefault="000832E1" w:rsidP="00DB5DBD">
            <w:pPr>
              <w:pStyle w:val="Tabulkatext"/>
              <w:rPr>
                <w:b/>
              </w:rPr>
            </w:pPr>
            <w:r w:rsidRPr="000832E1">
              <w:rPr>
                <w:b/>
              </w:rPr>
              <w:t>Členění nabídky</w:t>
            </w:r>
          </w:p>
          <w:p w:rsidR="000832E1" w:rsidRPr="000832E1" w:rsidRDefault="000832E1" w:rsidP="00DB5DBD">
            <w:pPr>
              <w:pStyle w:val="Tabulkatext"/>
            </w:pPr>
            <w:r w:rsidRPr="000832E1">
              <w:t>Nabídku je doporučeno předložit v následující struktuře:</w:t>
            </w:r>
          </w:p>
          <w:p w:rsidR="000832E1" w:rsidRPr="000832E1" w:rsidRDefault="000832E1" w:rsidP="000832E1">
            <w:pPr>
              <w:pStyle w:val="Tabulkatext"/>
              <w:numPr>
                <w:ilvl w:val="0"/>
                <w:numId w:val="33"/>
              </w:numPr>
            </w:pPr>
            <w:r w:rsidRPr="000832E1">
              <w:t>Krycí list nabídky</w:t>
            </w:r>
          </w:p>
          <w:p w:rsidR="000832E1" w:rsidRPr="000832E1" w:rsidRDefault="000832E1" w:rsidP="000832E1">
            <w:pPr>
              <w:pStyle w:val="Tabulkatext"/>
              <w:numPr>
                <w:ilvl w:val="0"/>
                <w:numId w:val="33"/>
              </w:numPr>
            </w:pPr>
            <w:r w:rsidRPr="000832E1">
              <w:t>Požadované doklady prokazující splnění kvalifikace</w:t>
            </w:r>
          </w:p>
          <w:p w:rsidR="000832E1" w:rsidRPr="000832E1" w:rsidRDefault="000832E1" w:rsidP="000832E1">
            <w:pPr>
              <w:pStyle w:val="Tabulkatext"/>
              <w:numPr>
                <w:ilvl w:val="0"/>
                <w:numId w:val="33"/>
              </w:numPr>
            </w:pPr>
            <w:r w:rsidRPr="000832E1">
              <w:t>Příp. doklad o zmocnění k podepsání nabídky (plná moc)</w:t>
            </w:r>
          </w:p>
          <w:p w:rsidR="000832E1" w:rsidRPr="00DB5DBD" w:rsidRDefault="000832E1" w:rsidP="000832E1">
            <w:pPr>
              <w:pStyle w:val="Tabulkatext"/>
              <w:numPr>
                <w:ilvl w:val="0"/>
                <w:numId w:val="33"/>
              </w:numPr>
              <w:rPr>
                <w:i/>
              </w:rPr>
            </w:pPr>
            <w:r w:rsidRPr="000832E1">
              <w:t>Závazný návrh kupní smlouvy vč. přílohy</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8E0060">
            <w:pPr>
              <w:pStyle w:val="Tabulkatext"/>
              <w:keepNext/>
              <w:rPr>
                <w:i/>
              </w:rPr>
            </w:pPr>
            <w:r w:rsidRPr="00E50090">
              <w:rPr>
                <w:b/>
                <w:bCs/>
              </w:rPr>
              <w:lastRenderedPageBreak/>
              <w:t>Požadavek na způsob zpracování nabídkové ceny</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Default="00C5332E" w:rsidP="00630805">
            <w:pPr>
              <w:pStyle w:val="Tabulkatext"/>
              <w:keepNext/>
              <w:jc w:val="both"/>
              <w:rPr>
                <w:i/>
              </w:rPr>
            </w:pPr>
            <w:r>
              <w:rPr>
                <w:i/>
              </w:rPr>
              <w:t>Nabídková cena musí obsahovat veškeré oprávněné náklady nezbytné ke včasné a kompletní realizaci díla. Nabídková cena díla musí být zpracována v souladu s podmínkami zadávací dokumentace. Nabídková cena bude stanovena jako cena „nejvýše přípustná</w:t>
            </w:r>
            <w:r w:rsidR="00B7041C">
              <w:rPr>
                <w:i/>
              </w:rPr>
              <w:t xml:space="preserve">“ a musí v ní být zahrnuty veškeré náklady spojené s realizací předmětu veřejné zakázky a lze jí měnit jen za podmínek uvedených v uzavřené smlouvě. </w:t>
            </w:r>
          </w:p>
          <w:p w:rsidR="00B7041C" w:rsidRDefault="00B7041C" w:rsidP="00DB5DBD">
            <w:pPr>
              <w:pStyle w:val="Tabulkatext"/>
              <w:keepNext/>
              <w:rPr>
                <w:i/>
              </w:rPr>
            </w:pPr>
            <w:r>
              <w:rPr>
                <w:i/>
              </w:rPr>
              <w:t>V krycím listu nabídky bude nabídková cena uvedena v Kč (CZK) v členění:</w:t>
            </w:r>
          </w:p>
          <w:p w:rsidR="00B7041C" w:rsidRDefault="00B7041C" w:rsidP="00630805">
            <w:pPr>
              <w:pStyle w:val="Tabulkatext"/>
              <w:keepNext/>
              <w:ind w:left="578"/>
              <w:rPr>
                <w:i/>
              </w:rPr>
            </w:pPr>
            <w:r>
              <w:rPr>
                <w:i/>
              </w:rPr>
              <w:t>Nabídková cena bez daně z přidané hodnoty (dále jen „DPH“),</w:t>
            </w:r>
          </w:p>
          <w:p w:rsidR="00B7041C" w:rsidRDefault="00B7041C" w:rsidP="00630805">
            <w:pPr>
              <w:pStyle w:val="Tabulkatext"/>
              <w:keepNext/>
              <w:ind w:left="578"/>
              <w:rPr>
                <w:i/>
              </w:rPr>
            </w:pPr>
            <w:r>
              <w:rPr>
                <w:i/>
              </w:rPr>
              <w:t>Sazba DPH, která se vztahuje k celkové nabídkové ceně (v %),</w:t>
            </w:r>
          </w:p>
          <w:p w:rsidR="00B7041C" w:rsidRDefault="00B7041C" w:rsidP="00630805">
            <w:pPr>
              <w:pStyle w:val="Tabulkatext"/>
              <w:keepNext/>
              <w:ind w:left="578"/>
              <w:rPr>
                <w:i/>
              </w:rPr>
            </w:pPr>
            <w:r>
              <w:rPr>
                <w:i/>
              </w:rPr>
              <w:t>Výše DPH,</w:t>
            </w:r>
          </w:p>
          <w:p w:rsidR="00B7041C" w:rsidRDefault="00B7041C" w:rsidP="00630805">
            <w:pPr>
              <w:pStyle w:val="Tabulkatext"/>
              <w:keepNext/>
              <w:ind w:left="578"/>
              <w:rPr>
                <w:i/>
              </w:rPr>
            </w:pPr>
            <w:r>
              <w:rPr>
                <w:i/>
              </w:rPr>
              <w:t>Nabídková cena včetně DPH.</w:t>
            </w:r>
          </w:p>
          <w:p w:rsidR="00B7041C" w:rsidRDefault="00B7041C" w:rsidP="00630805">
            <w:pPr>
              <w:pStyle w:val="Tabulkatext"/>
              <w:keepNext/>
              <w:jc w:val="both"/>
              <w:rPr>
                <w:i/>
              </w:rPr>
            </w:pPr>
            <w:r>
              <w:rPr>
                <w:i/>
              </w:rPr>
              <w:t xml:space="preserve">Nabídkovou cenu je účastník povinen uvést v návrhu kupní smlouvy (příloha č. 1) a dále v krycím listu nabídky – v členění dle této Výzvy. V případě rozporu bude rozhodující nabídková cena uvedená v návrhu kupní smlouvy. </w:t>
            </w:r>
          </w:p>
          <w:p w:rsidR="00B7041C" w:rsidRDefault="00B7041C" w:rsidP="00630805">
            <w:pPr>
              <w:pStyle w:val="Tabulkatext"/>
              <w:keepNext/>
              <w:jc w:val="both"/>
              <w:rPr>
                <w:i/>
              </w:rPr>
            </w:pPr>
            <w:r>
              <w:rPr>
                <w:i/>
              </w:rPr>
              <w:t xml:space="preserve">Nabídková cena musí být účastníkem garantována nejméně po dobu zadávací lhůty. </w:t>
            </w:r>
          </w:p>
          <w:p w:rsidR="00B7041C" w:rsidRDefault="00B7041C" w:rsidP="00630805">
            <w:pPr>
              <w:pStyle w:val="Tabulkatext"/>
              <w:keepNext/>
              <w:jc w:val="both"/>
              <w:rPr>
                <w:i/>
              </w:rPr>
            </w:pPr>
            <w:r>
              <w:rPr>
                <w:i/>
              </w:rPr>
              <w:t>Zadavatel připouští navýšení nabídkové ceny bez DPH pouze v následujících případech:</w:t>
            </w:r>
          </w:p>
          <w:p w:rsidR="00B7041C" w:rsidRDefault="00B7041C" w:rsidP="00B7041C">
            <w:pPr>
              <w:pStyle w:val="Tabulkatext"/>
              <w:keepNext/>
              <w:numPr>
                <w:ilvl w:val="0"/>
                <w:numId w:val="30"/>
              </w:numPr>
              <w:rPr>
                <w:i/>
              </w:rPr>
            </w:pPr>
            <w:r>
              <w:rPr>
                <w:i/>
              </w:rPr>
              <w:t>Při rozšíření předmětu veřejné zakázky nad rámec původního zadání</w:t>
            </w:r>
          </w:p>
          <w:p w:rsidR="00B7041C" w:rsidRPr="00E50090" w:rsidRDefault="00630805" w:rsidP="00630805">
            <w:pPr>
              <w:pStyle w:val="Tabulkatext"/>
              <w:keepNext/>
              <w:ind w:left="0"/>
              <w:jc w:val="both"/>
              <w:rPr>
                <w:i/>
              </w:rPr>
            </w:pPr>
            <w:r>
              <w:rPr>
                <w:i/>
              </w:rPr>
              <w:t xml:space="preserve">Výše nabídkových cen bude posuzována ve vztahu k předmětu veřejné zakázky. Jestliže nabídka obsahuje mimořádně nízkou nabídkovou cenu ve vztahu k předmětu veřejné zakázky, bude od účastníka vyžádáno písemné zdůvodnění těch částí nabídky, které jsou pro výši nabídkové ceny podstatné. Neodůvodní-li účastník písemně mimořádně nízkou nabídkovou cenu nebo posoudí-li hodnotící komise či zadavatel jeho zdůvodnění jako neopodstatněné, bude nabídka vyřazena.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Poža</w:t>
            </w:r>
            <w:r w:rsidR="00E14E40" w:rsidRPr="00E50090">
              <w:rPr>
                <w:b/>
                <w:bCs/>
              </w:rPr>
              <w:t>davek na písemnou formu nabídky</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DA7A8F" w:rsidRPr="000832E1" w:rsidRDefault="005C6C32" w:rsidP="000832E1">
            <w:pPr>
              <w:pStyle w:val="Tabulkatext"/>
              <w:jc w:val="both"/>
            </w:pPr>
            <w:r w:rsidRPr="000832E1">
              <w:t>Nabídka musí být zadavateli podána v listinné podobě</w:t>
            </w:r>
            <w:r w:rsidR="00DA7A8F" w:rsidRPr="000832E1">
              <w:t xml:space="preserve"> v řádně uzavřené obálce označené názvem zakázky a nápisem </w:t>
            </w:r>
            <w:r w:rsidR="00DA7A8F" w:rsidRPr="00DE2562">
              <w:rPr>
                <w:b/>
              </w:rPr>
              <w:t>„Neotevírat“,</w:t>
            </w:r>
            <w:r w:rsidR="00DA7A8F" w:rsidRPr="000832E1">
              <w:t xml:space="preserve"> na níž je uvedena kontaktní adresa uchazeče</w:t>
            </w:r>
            <w:r w:rsidRPr="000832E1">
              <w:t xml:space="preserve">. </w:t>
            </w:r>
            <w:r w:rsidR="00DA7A8F" w:rsidRPr="000832E1">
              <w:t>Nabídky musí být podepsány dodavatelem či osobou oprávněnou zastupovat dodavatele.</w:t>
            </w:r>
            <w:r w:rsidR="00DA7A8F" w:rsidRPr="000832E1">
              <w:rPr>
                <w:rStyle w:val="Znakapoznpodarou"/>
                <w:rFonts w:ascii="Arial" w:hAnsi="Arial" w:cs="Arial"/>
              </w:rPr>
              <w:footnoteReference w:id="1"/>
            </w:r>
            <w:r w:rsidR="00DA7A8F" w:rsidRPr="000832E1">
              <w:t xml:space="preserve"> </w:t>
            </w:r>
          </w:p>
          <w:p w:rsidR="00DA7A8F" w:rsidRPr="00E50090" w:rsidRDefault="00DA7A8F" w:rsidP="00D92737">
            <w:pPr>
              <w:pStyle w:val="Tabulkatext"/>
              <w:rPr>
                <w:i/>
              </w:rPr>
            </w:pPr>
          </w:p>
        </w:tc>
      </w:tr>
      <w:tr w:rsidR="00DA7A8F"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7A8F" w:rsidRPr="00E50090" w:rsidRDefault="00DA7A8F" w:rsidP="00D92737">
            <w:pPr>
              <w:pStyle w:val="Tabulkatext"/>
              <w:rPr>
                <w:b/>
                <w:bCs/>
              </w:rPr>
            </w:pPr>
            <w:r w:rsidRPr="00E50090">
              <w:rPr>
                <w:b/>
                <w:bCs/>
              </w:rPr>
              <w:t xml:space="preserve">Požadavek na uvedení kontaktní osoby </w:t>
            </w:r>
            <w:r w:rsidR="00667155" w:rsidRPr="00E50090">
              <w:rPr>
                <w:b/>
                <w:bCs/>
              </w:rPr>
              <w:t>dodavatele</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DA7A8F" w:rsidRPr="00E50090" w:rsidRDefault="00667155" w:rsidP="00D92737">
            <w:pPr>
              <w:pStyle w:val="Tabulkatext"/>
              <w:rPr>
                <w:i/>
              </w:rPr>
            </w:pPr>
            <w:r w:rsidRPr="00E50090">
              <w:rPr>
                <w:i/>
              </w:rPr>
              <w:t>Dodavatel</w:t>
            </w:r>
            <w:r w:rsidR="00DA7A8F" w:rsidRPr="00E50090">
              <w:rPr>
                <w:i/>
              </w:rPr>
              <w:t xml:space="preserve"> ve své nabídce uvede kontaktní osobu ve věci zakázky, její telefon a e-mailovou adresu.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rPr>
              <w:t>Požadavek na jednu nabídku</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0832E1" w:rsidDel="002D0D04" w:rsidRDefault="002F4386" w:rsidP="000832E1">
            <w:pPr>
              <w:pStyle w:val="Tabulkatext"/>
              <w:jc w:val="both"/>
            </w:pPr>
            <w:r w:rsidRPr="000832E1">
              <w:t xml:space="preserve">Zadavatel variantní řešení nepřipouští. </w:t>
            </w:r>
            <w:r w:rsidR="005C6C32" w:rsidRPr="000832E1">
              <w:t xml:space="preserve">Každý </w:t>
            </w:r>
            <w:r w:rsidR="00667155" w:rsidRPr="000832E1">
              <w:t xml:space="preserve">dodavatel </w:t>
            </w:r>
            <w:r w:rsidR="005C6C32" w:rsidRPr="000832E1">
              <w:t>může podat pouze jednu nabídku</w:t>
            </w:r>
            <w:r w:rsidR="00667155" w:rsidRPr="000832E1">
              <w:t>.</w:t>
            </w:r>
          </w:p>
        </w:tc>
      </w:tr>
      <w:tr w:rsidR="005C6C32"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5C6C32" w:rsidRPr="00E50090" w:rsidRDefault="005F6058" w:rsidP="00DB5DBD">
            <w:pPr>
              <w:pStyle w:val="Tabulkatext"/>
              <w:keepNext/>
              <w:rPr>
                <w:b/>
              </w:rPr>
            </w:pPr>
            <w:r>
              <w:rPr>
                <w:b/>
              </w:rPr>
              <w:lastRenderedPageBreak/>
              <w:t>Vysvětlení zadávacích podmínek</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AF426D" w:rsidRDefault="00AF426D" w:rsidP="00630805">
            <w:pPr>
              <w:pStyle w:val="Tabulkatext"/>
              <w:keepNext/>
              <w:ind w:left="0"/>
              <w:jc w:val="both"/>
            </w:pPr>
            <w:r w:rsidRPr="00EC4C04">
              <w:t>Požadavky a informace uvedené v této zadávací dokumentaci a v přílohách této zadávací dokumentace vymezují závazné požadavky zadavatele na plnění veřejné zakázky.</w:t>
            </w:r>
          </w:p>
          <w:p w:rsidR="00DE2562" w:rsidRPr="00EC4C04" w:rsidRDefault="00DE2562" w:rsidP="00630805">
            <w:pPr>
              <w:pStyle w:val="Tabulkatext"/>
              <w:keepNext/>
              <w:ind w:left="0"/>
              <w:jc w:val="both"/>
            </w:pPr>
          </w:p>
          <w:p w:rsidR="00AF426D" w:rsidRDefault="00AF426D" w:rsidP="00630805">
            <w:pPr>
              <w:pStyle w:val="Tabulkatext"/>
              <w:keepNext/>
              <w:ind w:left="0"/>
              <w:jc w:val="both"/>
            </w:pPr>
            <w:r w:rsidRPr="00EC4C04">
              <w:t xml:space="preserve">Případné nejasnosti je nutné vysvětlit před podáním nabídky. </w:t>
            </w:r>
          </w:p>
          <w:p w:rsidR="00DE2562" w:rsidRPr="00EC4C04" w:rsidRDefault="00DE2562" w:rsidP="00630805">
            <w:pPr>
              <w:pStyle w:val="Tabulkatext"/>
              <w:keepNext/>
              <w:ind w:left="0"/>
              <w:jc w:val="both"/>
            </w:pPr>
          </w:p>
          <w:p w:rsidR="00AF426D" w:rsidRDefault="00AF426D" w:rsidP="00630805">
            <w:pPr>
              <w:pStyle w:val="Tabulkatext"/>
              <w:keepNext/>
              <w:ind w:left="0"/>
              <w:jc w:val="both"/>
            </w:pPr>
            <w:r w:rsidRPr="00EC4C04">
              <w:t>Nedostatečná informovanost, nebo mylné chápání ustanovení a údajů neopravňuje účastníka požadovat dodatečnou úhradu nákladů nebo změnu nabídky.</w:t>
            </w:r>
          </w:p>
          <w:p w:rsidR="00DE2562" w:rsidRPr="00EC4C04" w:rsidRDefault="00DE2562" w:rsidP="00630805">
            <w:pPr>
              <w:pStyle w:val="Tabulkatext"/>
              <w:keepNext/>
              <w:ind w:left="0"/>
              <w:jc w:val="both"/>
            </w:pPr>
          </w:p>
          <w:p w:rsidR="00AF426D" w:rsidRDefault="00AF426D" w:rsidP="00630805">
            <w:pPr>
              <w:pStyle w:val="Tabulkatext"/>
              <w:keepNext/>
              <w:ind w:left="0"/>
              <w:jc w:val="both"/>
            </w:pPr>
            <w:r w:rsidRPr="00EC4C04">
              <w:t xml:space="preserve">Pokud bude účastník požadovat dodatečné (doplňující) informace nebo vysvětlení, zašle své dotazy písemnou formou na e-mail: </w:t>
            </w:r>
            <w:hyperlink r:id="rId10" w:history="1">
              <w:r w:rsidRPr="00EC4C04">
                <w:rPr>
                  <w:rStyle w:val="Hypertextovodkaz"/>
                </w:rPr>
                <w:t>samkova@hospic-pisek.cz</w:t>
              </w:r>
            </w:hyperlink>
            <w:r w:rsidRPr="00EC4C04">
              <w:t xml:space="preserve">. Písemné dotazy musí být zadavateli doručeny nejpozději 4 pracovní dny před uplynutím lhůty pro podání nabídek. </w:t>
            </w:r>
          </w:p>
          <w:p w:rsidR="00DE2562" w:rsidRPr="00EC4C04" w:rsidRDefault="00DE2562" w:rsidP="00630805">
            <w:pPr>
              <w:pStyle w:val="Tabulkatext"/>
              <w:keepNext/>
              <w:ind w:left="0"/>
              <w:jc w:val="both"/>
            </w:pPr>
          </w:p>
          <w:p w:rsidR="00C5332E" w:rsidRDefault="00C5332E" w:rsidP="00630805">
            <w:pPr>
              <w:pStyle w:val="Tabulkatext"/>
              <w:keepNext/>
              <w:ind w:left="0"/>
              <w:jc w:val="both"/>
            </w:pPr>
            <w:r w:rsidRPr="00EC4C04">
              <w:t xml:space="preserve">Zadavatel upozorňuje, že odpovědi na dotazy uveřejní na webové stránce – </w:t>
            </w:r>
            <w:hyperlink r:id="rId11" w:history="1">
              <w:r w:rsidRPr="00EC4C04">
                <w:rPr>
                  <w:rStyle w:val="Hypertextovodkaz"/>
                </w:rPr>
                <w:t>www.hospic-pisek.cz</w:t>
              </w:r>
            </w:hyperlink>
            <w:r w:rsidRPr="00EC4C04">
              <w:t xml:space="preserve"> do 3 pracovních dní ode dne doručení dotazu. Zadavatel doporučuje dodavatelům, aby webové stránky ve svém vlastním zájmu sledovali. </w:t>
            </w:r>
          </w:p>
          <w:p w:rsidR="00DE2562" w:rsidRPr="00EC4C04" w:rsidRDefault="00DE2562" w:rsidP="00630805">
            <w:pPr>
              <w:pStyle w:val="Tabulkatext"/>
              <w:keepNext/>
              <w:ind w:left="0"/>
              <w:jc w:val="both"/>
            </w:pPr>
          </w:p>
          <w:p w:rsidR="00C5332E" w:rsidRPr="00EC4C04" w:rsidRDefault="00C5332E" w:rsidP="00630805">
            <w:pPr>
              <w:pStyle w:val="Tabulkatext"/>
              <w:keepNext/>
              <w:ind w:left="0"/>
              <w:jc w:val="both"/>
            </w:pPr>
            <w:r w:rsidRPr="00EC4C04">
              <w:t>Účastníci jsou povinni seznámit se s případnými dodatečnými informacemi a zohlednit je v podané nabídce.</w:t>
            </w:r>
          </w:p>
          <w:p w:rsidR="00C5332E" w:rsidRPr="00EC4C04" w:rsidRDefault="00C5332E" w:rsidP="00630805">
            <w:pPr>
              <w:pStyle w:val="Tabulkatext"/>
              <w:keepNext/>
              <w:ind w:left="0"/>
              <w:jc w:val="both"/>
            </w:pPr>
          </w:p>
          <w:p w:rsidR="00E14E40" w:rsidRPr="00E50090" w:rsidRDefault="00E14E40" w:rsidP="00630805">
            <w:pPr>
              <w:pStyle w:val="Tabulkatext"/>
              <w:keepNext/>
              <w:ind w:left="0"/>
              <w:jc w:val="both"/>
              <w:rPr>
                <w:i/>
              </w:rPr>
            </w:pPr>
            <w:r w:rsidRPr="00EC4C04">
              <w:t xml:space="preserve">Dodavatel je oprávněn po zadavateli požadovat </w:t>
            </w:r>
            <w:r w:rsidR="007E6E16" w:rsidRPr="00EC4C04">
              <w:t>vysvětlení zadávacích podmínek</w:t>
            </w:r>
            <w:r w:rsidRPr="00EC4C04">
              <w:t xml:space="preserve"> (odpovědi na dotaz). Písemná žádost musí být zadavateli doručena nejpozději </w:t>
            </w:r>
            <w:r w:rsidR="008C7EB7" w:rsidRPr="00EC4C04">
              <w:t>4</w:t>
            </w:r>
            <w:r w:rsidR="00D92737" w:rsidRPr="00EC4C04">
              <w:t xml:space="preserve"> </w:t>
            </w:r>
            <w:r w:rsidRPr="00EC4C04">
              <w:t>pracovní dny před uplynutím lhůty pro podání nabídek.</w:t>
            </w:r>
            <w:r w:rsidRPr="00E50090">
              <w:rPr>
                <w:i/>
              </w:rPr>
              <w:t xml:space="preserve"> </w:t>
            </w:r>
          </w:p>
        </w:tc>
      </w:tr>
      <w:tr w:rsidR="00E14E40"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D92737">
            <w:pPr>
              <w:pStyle w:val="Tabulkatext"/>
              <w:rPr>
                <w:b/>
                <w:bCs/>
              </w:rPr>
            </w:pPr>
            <w:r w:rsidRPr="00E50090">
              <w:rPr>
                <w:b/>
                <w:bCs/>
              </w:rPr>
              <w:t>Další požadavky na zpracování nabídky</w:t>
            </w:r>
          </w:p>
        </w:tc>
      </w:tr>
      <w:tr w:rsidR="00E14E40" w:rsidRPr="00EC4C04"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DB5DBD" w:rsidRPr="00EC4C04" w:rsidRDefault="00DB5DBD" w:rsidP="00DB5DBD">
            <w:pPr>
              <w:pStyle w:val="Tabulkatext"/>
              <w:rPr>
                <w:szCs w:val="20"/>
              </w:rPr>
            </w:pPr>
            <w:r w:rsidRPr="00EC4C04">
              <w:rPr>
                <w:szCs w:val="20"/>
              </w:rPr>
              <w:t>Např.:</w:t>
            </w:r>
          </w:p>
          <w:p w:rsidR="00E14E40" w:rsidRPr="00EC4C04" w:rsidRDefault="00E14E40" w:rsidP="00EC4C04">
            <w:pPr>
              <w:pStyle w:val="Tabulkatext"/>
              <w:numPr>
                <w:ilvl w:val="0"/>
                <w:numId w:val="26"/>
              </w:numPr>
              <w:jc w:val="both"/>
              <w:rPr>
                <w:szCs w:val="20"/>
                <w:u w:val="single"/>
              </w:rPr>
            </w:pPr>
            <w:r w:rsidRPr="00EC4C04">
              <w:rPr>
                <w:szCs w:val="20"/>
                <w:u w:val="single"/>
              </w:rPr>
              <w:t>Platební podmínky</w:t>
            </w:r>
            <w:r w:rsidR="009A66A1" w:rsidRPr="00EC4C04">
              <w:rPr>
                <w:szCs w:val="20"/>
                <w:u w:val="single"/>
              </w:rPr>
              <w:t>:</w:t>
            </w:r>
          </w:p>
          <w:p w:rsidR="001D194E" w:rsidRPr="00EC4C04" w:rsidRDefault="001D194E" w:rsidP="00EC4C04">
            <w:pPr>
              <w:pStyle w:val="Tabulkatext"/>
              <w:ind w:left="777"/>
              <w:jc w:val="both"/>
              <w:rPr>
                <w:szCs w:val="20"/>
              </w:rPr>
            </w:pPr>
            <w:r w:rsidRPr="00EC4C04">
              <w:rPr>
                <w:szCs w:val="20"/>
              </w:rPr>
              <w:t>Zadavatel nebude poskytovat zálohy.</w:t>
            </w:r>
          </w:p>
          <w:p w:rsidR="001D194E" w:rsidRPr="00EC4C04" w:rsidRDefault="001D194E" w:rsidP="00EC4C04">
            <w:pPr>
              <w:pStyle w:val="Tabulkatext"/>
              <w:ind w:left="777"/>
              <w:jc w:val="both"/>
              <w:rPr>
                <w:szCs w:val="20"/>
              </w:rPr>
            </w:pPr>
            <w:r w:rsidRPr="00EC4C04">
              <w:rPr>
                <w:szCs w:val="20"/>
              </w:rPr>
              <w:t xml:space="preserve">Platební doklad (faktura) bude vystaven po kompletním dodání předmětu této zakázky (automobilů) odpovědné osobě. </w:t>
            </w:r>
          </w:p>
          <w:p w:rsidR="00E112EA" w:rsidRDefault="00E112EA" w:rsidP="00EC4C04">
            <w:pPr>
              <w:pStyle w:val="Tabulkatext"/>
              <w:ind w:left="777"/>
              <w:jc w:val="both"/>
              <w:rPr>
                <w:szCs w:val="20"/>
              </w:rPr>
            </w:pPr>
            <w:r w:rsidRPr="00EC4C04">
              <w:rPr>
                <w:szCs w:val="20"/>
              </w:rPr>
              <w:t>Faktura dodavatele musí být předložena ve 2 vyhotoveních a musí mít charakter daňového dokladu podle platných předpisů o dani z přidané hodnoty a účetnictví a musí obsahovat skutečnosti uvedené v § 435 občanského zákoníku</w:t>
            </w:r>
            <w:r w:rsidR="00AF426D" w:rsidRPr="00EC4C04">
              <w:rPr>
                <w:szCs w:val="20"/>
              </w:rPr>
              <w:t xml:space="preserve">. Faktura bude považována za uhrazenou v okamžiku, kdy byla dlužná částka odepsána z účtu zadavatele. </w:t>
            </w:r>
          </w:p>
          <w:p w:rsidR="000B11AC" w:rsidRPr="00EC4C04" w:rsidRDefault="000B11AC" w:rsidP="00EC4C04">
            <w:pPr>
              <w:pStyle w:val="Tabulkatext"/>
              <w:ind w:left="777"/>
              <w:jc w:val="both"/>
              <w:rPr>
                <w:szCs w:val="20"/>
              </w:rPr>
            </w:pPr>
            <w:r>
              <w:rPr>
                <w:szCs w:val="20"/>
              </w:rPr>
              <w:t xml:space="preserve">Faktura bude obsahovat název a registrační číslo </w:t>
            </w:r>
            <w:r w:rsidRPr="00244DFD">
              <w:rPr>
                <w:szCs w:val="20"/>
              </w:rPr>
              <w:t>projektu „</w:t>
            </w:r>
            <w:r w:rsidR="00244DFD" w:rsidRPr="00244DFD">
              <w:rPr>
                <w:szCs w:val="20"/>
              </w:rPr>
              <w:t>Zvýšení kvality mobilní paliativní péče v Domácím hospici Athelas</w:t>
            </w:r>
            <w:r w:rsidRPr="00244DFD">
              <w:rPr>
                <w:szCs w:val="20"/>
              </w:rPr>
              <w:t xml:space="preserve">“, </w:t>
            </w:r>
            <w:proofErr w:type="spellStart"/>
            <w:r w:rsidRPr="00244DFD">
              <w:rPr>
                <w:szCs w:val="20"/>
              </w:rPr>
              <w:t>reg</w:t>
            </w:r>
            <w:proofErr w:type="spellEnd"/>
            <w:r w:rsidRPr="00244DFD">
              <w:rPr>
                <w:szCs w:val="20"/>
              </w:rPr>
              <w:t xml:space="preserve">. </w:t>
            </w:r>
            <w:proofErr w:type="gramStart"/>
            <w:r w:rsidRPr="00244DFD">
              <w:rPr>
                <w:szCs w:val="20"/>
              </w:rPr>
              <w:t>č.</w:t>
            </w:r>
            <w:proofErr w:type="gramEnd"/>
            <w:r w:rsidRPr="00244DFD">
              <w:rPr>
                <w:szCs w:val="20"/>
              </w:rPr>
              <w:t xml:space="preserve"> projektu </w:t>
            </w:r>
            <w:r w:rsidR="00244DFD" w:rsidRPr="00244DFD">
              <w:rPr>
                <w:rFonts w:ascii="Arial" w:hAnsi="Arial" w:cs="Arial"/>
                <w:color w:val="000000"/>
                <w:szCs w:val="20"/>
              </w:rPr>
              <w:t>CZ.06.04.03/00/23_072/0005676</w:t>
            </w:r>
            <w:r w:rsidRPr="00244DFD">
              <w:rPr>
                <w:szCs w:val="20"/>
              </w:rPr>
              <w:t>.</w:t>
            </w:r>
          </w:p>
          <w:p w:rsidR="00AF426D" w:rsidRPr="00EC4C04" w:rsidRDefault="00AF426D" w:rsidP="00EC4C04">
            <w:pPr>
              <w:pStyle w:val="Tabulkatext"/>
              <w:ind w:left="777"/>
              <w:jc w:val="both"/>
              <w:rPr>
                <w:szCs w:val="20"/>
              </w:rPr>
            </w:pPr>
            <w:r w:rsidRPr="00EC4C04">
              <w:rPr>
                <w:szCs w:val="20"/>
              </w:rPr>
              <w:t>Fa</w:t>
            </w:r>
            <w:r w:rsidR="00395A3F">
              <w:rPr>
                <w:szCs w:val="20"/>
              </w:rPr>
              <w:t>ktura dodavatele je splatná do 2</w:t>
            </w:r>
            <w:r w:rsidRPr="00EC4C04">
              <w:rPr>
                <w:szCs w:val="20"/>
              </w:rPr>
              <w:t xml:space="preserve">0 dnů od doručení zadavateli. Pokud však faktura nebude mít zákonem vyžadované náležitosti a zadavatel požádal dodavatele o její opravu nejpozději do 15 dnů ode dne, kdy ji prokazatelně obdržel, počíná lhůta splatnosti faktury běžet teprve dnem, kdy zadavatel obdržel bezchybnou fakturu. Zadavatel může o opravu faktury požádat i elektronickými prostředky. </w:t>
            </w:r>
          </w:p>
          <w:p w:rsidR="00AF426D" w:rsidRPr="00EC4C04" w:rsidRDefault="00AF426D" w:rsidP="00EC4C04">
            <w:pPr>
              <w:pStyle w:val="Tabulkatext"/>
              <w:ind w:left="777"/>
              <w:jc w:val="both"/>
              <w:rPr>
                <w:szCs w:val="20"/>
              </w:rPr>
            </w:pPr>
            <w:r w:rsidRPr="00EC4C04">
              <w:rPr>
                <w:szCs w:val="20"/>
              </w:rPr>
              <w:t>Zadavatel bude moci od faktury dodavatele odečíst své splatné pohledávky za dodavatelem, které vzniknou v souvislosti s plněním podle této veřejné zakázky.</w:t>
            </w:r>
          </w:p>
          <w:p w:rsidR="00AF426D" w:rsidRPr="00EC4C04" w:rsidRDefault="00AF426D" w:rsidP="00EC4C04">
            <w:pPr>
              <w:pStyle w:val="Tabulkatext"/>
              <w:ind w:left="777"/>
              <w:jc w:val="both"/>
              <w:rPr>
                <w:szCs w:val="20"/>
              </w:rPr>
            </w:pPr>
            <w:r w:rsidRPr="00EC4C04">
              <w:rPr>
                <w:szCs w:val="20"/>
              </w:rPr>
              <w:t>Platby budou probíhat výhradně v Kč (CZK). Rovněž veškeré cenové údaje budou uváděny v Kč (CZK).</w:t>
            </w:r>
          </w:p>
          <w:p w:rsidR="002F4386" w:rsidRPr="00EC4C04" w:rsidRDefault="002F4386" w:rsidP="002F4386">
            <w:pPr>
              <w:pStyle w:val="Tabulkatext"/>
              <w:numPr>
                <w:ilvl w:val="0"/>
                <w:numId w:val="26"/>
              </w:numPr>
              <w:rPr>
                <w:szCs w:val="20"/>
                <w:u w:val="single"/>
              </w:rPr>
            </w:pPr>
            <w:r w:rsidRPr="00EC4C04">
              <w:rPr>
                <w:szCs w:val="20"/>
                <w:u w:val="single"/>
              </w:rPr>
              <w:t>Záruční podmínky:</w:t>
            </w:r>
          </w:p>
          <w:p w:rsidR="002F4386" w:rsidRPr="00EC4C04" w:rsidRDefault="002F4386" w:rsidP="002F4386">
            <w:pPr>
              <w:pStyle w:val="Tabulkatext"/>
              <w:ind w:left="777"/>
              <w:rPr>
                <w:szCs w:val="20"/>
              </w:rPr>
            </w:pPr>
            <w:r w:rsidRPr="00EC4C04">
              <w:rPr>
                <w:szCs w:val="20"/>
              </w:rPr>
              <w:t>Záruční lhůta se požaduje 24 měsíců</w:t>
            </w:r>
          </w:p>
          <w:p w:rsidR="00E14E40" w:rsidRPr="00EC4C04" w:rsidRDefault="00EC4C04" w:rsidP="00D92737">
            <w:pPr>
              <w:pStyle w:val="Tabulkatext"/>
              <w:numPr>
                <w:ilvl w:val="0"/>
                <w:numId w:val="26"/>
              </w:numPr>
              <w:rPr>
                <w:szCs w:val="20"/>
                <w:u w:val="single"/>
              </w:rPr>
            </w:pPr>
            <w:r w:rsidRPr="00EC4C04">
              <w:rPr>
                <w:szCs w:val="20"/>
                <w:u w:val="single"/>
              </w:rPr>
              <w:t>Obchodní podmínky:</w:t>
            </w:r>
          </w:p>
          <w:p w:rsidR="00EC4C04" w:rsidRPr="00EC4C04" w:rsidRDefault="00EC4C04" w:rsidP="00EC4C04">
            <w:pPr>
              <w:pStyle w:val="Tabulkatext"/>
              <w:ind w:left="777"/>
              <w:jc w:val="both"/>
              <w:rPr>
                <w:szCs w:val="20"/>
              </w:rPr>
            </w:pPr>
            <w:r w:rsidRPr="00EC4C04">
              <w:rPr>
                <w:szCs w:val="20"/>
              </w:rPr>
              <w:lastRenderedPageBreak/>
              <w:t xml:space="preserve">Účastník v nabídce doloží doplněný návrh kupní smlouvy (použije přílohu č. 1). </w:t>
            </w:r>
            <w:r>
              <w:rPr>
                <w:szCs w:val="20"/>
              </w:rPr>
              <w:t xml:space="preserve">Účastník </w:t>
            </w:r>
            <w:r w:rsidRPr="00EC4C04">
              <w:rPr>
                <w:szCs w:val="20"/>
              </w:rPr>
              <w:t xml:space="preserve">vyplní v textu smlouvy údaje, které jsou určeny k vyplnění (v návrhu smlouvy označeno jako: </w:t>
            </w:r>
            <w:r w:rsidRPr="00EC4C04">
              <w:rPr>
                <w:rFonts w:ascii="Arial" w:hAnsi="Arial" w:cs="Arial"/>
                <w:szCs w:val="20"/>
                <w:highlight w:val="yellow"/>
              </w:rPr>
              <w:t>[doplní účastník]</w:t>
            </w:r>
            <w:r w:rsidRPr="00EC4C04">
              <w:rPr>
                <w:rFonts w:ascii="Arial" w:hAnsi="Arial" w:cs="Arial"/>
                <w:szCs w:val="20"/>
              </w:rPr>
              <w:t>), a tutéž smlouvu použije jako součást nabídky.</w:t>
            </w:r>
          </w:p>
          <w:p w:rsidR="00E14E40" w:rsidRPr="00EC4C04" w:rsidRDefault="00D337BC" w:rsidP="00D92737">
            <w:pPr>
              <w:pStyle w:val="Tabulkatext"/>
              <w:numPr>
                <w:ilvl w:val="0"/>
                <w:numId w:val="26"/>
              </w:numPr>
              <w:rPr>
                <w:szCs w:val="20"/>
                <w:u w:val="single"/>
              </w:rPr>
            </w:pPr>
            <w:r w:rsidRPr="00EC4C04">
              <w:rPr>
                <w:szCs w:val="20"/>
                <w:u w:val="single"/>
              </w:rPr>
              <w:t>Zadávací lhůta:</w:t>
            </w:r>
          </w:p>
          <w:p w:rsidR="00D337BC" w:rsidRPr="00EC4C04" w:rsidRDefault="00D337BC" w:rsidP="00D337BC">
            <w:pPr>
              <w:pStyle w:val="Tabulkatext"/>
              <w:ind w:left="777"/>
              <w:rPr>
                <w:szCs w:val="20"/>
              </w:rPr>
            </w:pPr>
            <w:r w:rsidRPr="00EC4C04">
              <w:rPr>
                <w:szCs w:val="20"/>
              </w:rPr>
              <w:t>Zadávací lhůta (lhůta, po kterou jsou účastníci svou nabídkou vázáni) činí 3 měsíce a začíná běžet okamžikem skončení lhůty pro podání nabídek.</w:t>
            </w:r>
          </w:p>
          <w:p w:rsidR="00D337BC" w:rsidRPr="00EC4C04" w:rsidRDefault="00D337BC" w:rsidP="008E0060">
            <w:pPr>
              <w:pStyle w:val="Tabulkatext"/>
              <w:numPr>
                <w:ilvl w:val="0"/>
                <w:numId w:val="26"/>
              </w:numPr>
              <w:rPr>
                <w:szCs w:val="20"/>
                <w:u w:val="single"/>
              </w:rPr>
            </w:pPr>
            <w:r w:rsidRPr="00EC4C04">
              <w:rPr>
                <w:szCs w:val="20"/>
                <w:u w:val="single"/>
              </w:rPr>
              <w:t>Další podmínky a práva zadavatele:</w:t>
            </w:r>
          </w:p>
          <w:p w:rsidR="00E14E40" w:rsidRPr="00EC4C04" w:rsidRDefault="00EA296A" w:rsidP="00F43A89">
            <w:pPr>
              <w:pStyle w:val="Tabulkatext"/>
              <w:numPr>
                <w:ilvl w:val="0"/>
                <w:numId w:val="30"/>
              </w:numPr>
              <w:jc w:val="both"/>
              <w:rPr>
                <w:szCs w:val="20"/>
              </w:rPr>
            </w:pPr>
            <w:r w:rsidRPr="00EC4C04">
              <w:rPr>
                <w:szCs w:val="20"/>
              </w:rPr>
              <w:t>Vybraný účastník je povinen poskytnout zadavateli řádnou součinnost potřebnou k uzavření smlouvy tak, aby byla smlouva uzavřena bez zbytečného odkladu po uveřejnění či odeslání oznámení o výběru dodavatele. Odmítne-li účastník uzavřít se zadavatelem smlouvu nebo neposkytne-li řádnou součinnost k jejímu uzavření, může zadavatel vyzvat k uzavření smlouvy dalšího účastníka výběrového řízení, a to v pořadí, které vyplývá z hodnocení nabídek.</w:t>
            </w:r>
          </w:p>
          <w:p w:rsidR="00EA296A" w:rsidRPr="00EC4C04" w:rsidRDefault="00EA296A" w:rsidP="00F43A89">
            <w:pPr>
              <w:pStyle w:val="Tabulkatext"/>
              <w:numPr>
                <w:ilvl w:val="0"/>
                <w:numId w:val="30"/>
              </w:numPr>
              <w:jc w:val="both"/>
              <w:rPr>
                <w:szCs w:val="20"/>
              </w:rPr>
            </w:pPr>
            <w:r w:rsidRPr="00EC4C04">
              <w:rPr>
                <w:szCs w:val="20"/>
              </w:rPr>
              <w:t xml:space="preserve">Nedostatečná informovanost, mylné chápání zakázky, chybně navržená nabídková cena apod., neopravňuje zájemce požadovat dodatečnou úhradu nákladů nebo zvýšení nabídkové ceny. Zadavatel si vyhrazuje právo </w:t>
            </w:r>
            <w:r w:rsidR="009A1380" w:rsidRPr="00EC4C04">
              <w:rPr>
                <w:szCs w:val="20"/>
              </w:rPr>
              <w:t xml:space="preserve">v průběhu soutěžní lhůty změnit, upřesnit nebo doplnit podmínky zadání, a to písemně všem zájemcům shodně, zveřejněním na webu zadavatele. </w:t>
            </w:r>
          </w:p>
          <w:p w:rsidR="006C18EF" w:rsidRPr="00EC4C04" w:rsidRDefault="006C18EF" w:rsidP="00F43A89">
            <w:pPr>
              <w:pStyle w:val="Tabulkatext"/>
              <w:numPr>
                <w:ilvl w:val="0"/>
                <w:numId w:val="30"/>
              </w:numPr>
              <w:jc w:val="both"/>
              <w:rPr>
                <w:szCs w:val="20"/>
              </w:rPr>
            </w:pPr>
            <w:r w:rsidRPr="00EC4C04">
              <w:rPr>
                <w:szCs w:val="20"/>
              </w:rPr>
              <w:t>Zadavatel si vyhrazuje právo odmítnout všechny nabídky a veřejnou zakázku zrušit a neuzavřít smluvní vztah se žádným se zájemců s tím, že případné neuzavření smluvního vztahu nebude druhou stranou sankcionováno.</w:t>
            </w:r>
          </w:p>
          <w:p w:rsidR="006C18EF" w:rsidRPr="00EC4C04" w:rsidRDefault="006C18EF" w:rsidP="00F43A89">
            <w:pPr>
              <w:pStyle w:val="Tabulkatext"/>
              <w:numPr>
                <w:ilvl w:val="0"/>
                <w:numId w:val="30"/>
              </w:numPr>
              <w:jc w:val="both"/>
              <w:rPr>
                <w:szCs w:val="20"/>
              </w:rPr>
            </w:pPr>
            <w:r w:rsidRPr="00EC4C04">
              <w:rPr>
                <w:szCs w:val="20"/>
              </w:rPr>
              <w:t>Zadavatel si vyhrazuje právo zruš</w:t>
            </w:r>
            <w:r w:rsidR="00F43A89" w:rsidRPr="00EC4C04">
              <w:rPr>
                <w:szCs w:val="20"/>
              </w:rPr>
              <w:t>it</w:t>
            </w:r>
            <w:r w:rsidRPr="00EC4C04">
              <w:rPr>
                <w:szCs w:val="20"/>
              </w:rPr>
              <w:t xml:space="preserve"> výběrové řízení na zhotovitele v případě, že podané nabídky překročí předpokládanou hodnotu této veřejné zakázky. </w:t>
            </w:r>
          </w:p>
          <w:p w:rsidR="00F43A89" w:rsidRPr="00EC4C04" w:rsidRDefault="00F43A89" w:rsidP="00F43A89">
            <w:pPr>
              <w:pStyle w:val="Tabulkatext"/>
              <w:numPr>
                <w:ilvl w:val="0"/>
                <w:numId w:val="30"/>
              </w:numPr>
              <w:jc w:val="both"/>
              <w:rPr>
                <w:szCs w:val="20"/>
              </w:rPr>
            </w:pPr>
            <w:r w:rsidRPr="00EC4C04">
              <w:rPr>
                <w:szCs w:val="20"/>
              </w:rPr>
              <w:t>Zadavatel může vyloučit účastníka pro nezpůsobilost v případě, že se účastník dopustil v posledních 3 letech od zahájení výběrového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 Postup analogický s </w:t>
            </w:r>
            <w:proofErr w:type="spellStart"/>
            <w:r w:rsidRPr="00EC4C04">
              <w:rPr>
                <w:szCs w:val="20"/>
              </w:rPr>
              <w:t>ust</w:t>
            </w:r>
            <w:proofErr w:type="spellEnd"/>
            <w:r w:rsidRPr="00EC4C04">
              <w:rPr>
                <w:szCs w:val="20"/>
              </w:rPr>
              <w:t>. § 76 zákona (obnovení způsobilosti) se nepoužije.</w:t>
            </w:r>
          </w:p>
          <w:p w:rsidR="00F43A89" w:rsidRPr="00EC4C04" w:rsidRDefault="00F43A89" w:rsidP="00F43A89">
            <w:pPr>
              <w:pStyle w:val="Tabulkatext"/>
              <w:numPr>
                <w:ilvl w:val="0"/>
                <w:numId w:val="30"/>
              </w:numPr>
              <w:jc w:val="both"/>
              <w:rPr>
                <w:szCs w:val="20"/>
              </w:rPr>
            </w:pPr>
            <w:r w:rsidRPr="00EC4C04">
              <w:rPr>
                <w:szCs w:val="20"/>
              </w:rPr>
              <w:t>Náklady spojené s účastí v tomto výběrovém řízení nese každý účastník sám.</w:t>
            </w:r>
          </w:p>
          <w:p w:rsidR="00F43A89" w:rsidRPr="00EC4C04" w:rsidRDefault="00F43A89" w:rsidP="00F43A89">
            <w:pPr>
              <w:pStyle w:val="Tabulkatext"/>
              <w:numPr>
                <w:ilvl w:val="0"/>
                <w:numId w:val="30"/>
              </w:numPr>
              <w:jc w:val="both"/>
              <w:rPr>
                <w:szCs w:val="20"/>
              </w:rPr>
            </w:pPr>
            <w:r w:rsidRPr="00EC4C04">
              <w:rPr>
                <w:szCs w:val="20"/>
              </w:rPr>
              <w:t xml:space="preserve">V případě, že dojde ke změně údajů uvedených v nabídce do doby uzavření smlouvy s vybraným účastníkem, je příslušný účastník povinen o této změně zadavatele bezodkladně písemně informovat. </w:t>
            </w:r>
          </w:p>
          <w:p w:rsidR="00F43A89" w:rsidRPr="00EC4C04" w:rsidRDefault="00F43A89" w:rsidP="00F43A89">
            <w:pPr>
              <w:pStyle w:val="Tabulkatext"/>
              <w:numPr>
                <w:ilvl w:val="0"/>
                <w:numId w:val="30"/>
              </w:numPr>
              <w:jc w:val="both"/>
              <w:rPr>
                <w:szCs w:val="20"/>
              </w:rPr>
            </w:pPr>
            <w:r w:rsidRPr="00EC4C04">
              <w:rPr>
                <w:szCs w:val="20"/>
              </w:rPr>
              <w:t xml:space="preserve">Zadavatel si vyhrazuje právo ověřit informace obsažené v nabídce účastníka u třetích osob a účastník je povinen mu v tomto ohledu poskytnout veškerou potřebnou součinnost. </w:t>
            </w:r>
          </w:p>
          <w:p w:rsidR="00F43A89" w:rsidRPr="00EC4C04" w:rsidRDefault="00F43A89" w:rsidP="00F43A89">
            <w:pPr>
              <w:pStyle w:val="Tabulkatext"/>
              <w:numPr>
                <w:ilvl w:val="0"/>
                <w:numId w:val="30"/>
              </w:numPr>
              <w:jc w:val="both"/>
              <w:rPr>
                <w:szCs w:val="20"/>
              </w:rPr>
            </w:pPr>
            <w:r w:rsidRPr="00EC4C04">
              <w:rPr>
                <w:szCs w:val="20"/>
              </w:rPr>
              <w:t>Podané nabídky se účastníkům nevracejí.</w:t>
            </w:r>
          </w:p>
          <w:p w:rsidR="00F43A89" w:rsidRPr="00EC4C04" w:rsidRDefault="00F43A89" w:rsidP="00F43A89">
            <w:pPr>
              <w:pStyle w:val="Tabulkatext"/>
              <w:numPr>
                <w:ilvl w:val="0"/>
                <w:numId w:val="30"/>
              </w:numPr>
              <w:jc w:val="both"/>
              <w:rPr>
                <w:szCs w:val="20"/>
              </w:rPr>
            </w:pPr>
            <w:r w:rsidRPr="00EC4C04">
              <w:rPr>
                <w:szCs w:val="20"/>
              </w:rPr>
              <w:t>Zadavatel, s ohledem na předmět plnění, neorganizuje prohlídka místa plnění.</w:t>
            </w:r>
          </w:p>
          <w:p w:rsidR="00F43A89" w:rsidRPr="00EC4C04" w:rsidRDefault="00F43A89" w:rsidP="00F43A89">
            <w:pPr>
              <w:pStyle w:val="Tabulkatext"/>
              <w:numPr>
                <w:ilvl w:val="0"/>
                <w:numId w:val="30"/>
              </w:numPr>
              <w:jc w:val="both"/>
              <w:rPr>
                <w:szCs w:val="20"/>
              </w:rPr>
            </w:pPr>
            <w:r w:rsidRPr="00EC4C04">
              <w:rPr>
                <w:szCs w:val="20"/>
              </w:rPr>
              <w:t>Pokud zadávací dokumentace, obsahuje požadavky nebo odkazy na obchodní firmy, názvy nebo jména a příjmení, dále specifická označení zboží a služeb, které platí pro určitou osobu, popřípadě její organizační složku, patenty na vynálezy, užitné vzory, průmyslové vzory, ochranné známky nebo označení původu, a pokud by toto vedlo ke zvýhodnění nebo naopak k vyloučení určitých dodavatelů nebo určitých výrobků, umožňuje zadavatel použití jiných, kvalitativně a technicky srovnatelných nebo lepších řešení.</w:t>
            </w:r>
          </w:p>
          <w:p w:rsidR="00F43A89" w:rsidRPr="00EC4C04" w:rsidRDefault="001D0E96" w:rsidP="00F43A89">
            <w:pPr>
              <w:pStyle w:val="Tabulkatext"/>
              <w:numPr>
                <w:ilvl w:val="0"/>
                <w:numId w:val="30"/>
              </w:numPr>
              <w:jc w:val="both"/>
              <w:rPr>
                <w:b/>
                <w:szCs w:val="20"/>
              </w:rPr>
            </w:pPr>
            <w:r w:rsidRPr="00EC4C04">
              <w:rPr>
                <w:b/>
                <w:szCs w:val="20"/>
              </w:rPr>
              <w:t>Dodavatel</w:t>
            </w:r>
            <w:r w:rsidR="00F43A89" w:rsidRPr="00EC4C04">
              <w:rPr>
                <w:b/>
                <w:szCs w:val="20"/>
              </w:rPr>
              <w:t xml:space="preserve"> souhlasí s tím, že zajistí zve</w:t>
            </w:r>
            <w:r w:rsidRPr="00EC4C04">
              <w:rPr>
                <w:b/>
                <w:szCs w:val="20"/>
              </w:rPr>
              <w:t xml:space="preserve">řejnění smlouvy včetně příloh v informačním systému registru smluv v souladu se zákonem č. 340/2015 Sb., o zvláštních podmínkách účinnosti některých smluv, uveřejňování těchto smluv a o registru smluv (zákon o registru smluv). </w:t>
            </w:r>
          </w:p>
          <w:p w:rsidR="001D0E96" w:rsidRPr="00EC4C04" w:rsidRDefault="001D0E96" w:rsidP="000B11AC">
            <w:pPr>
              <w:pStyle w:val="Tabulkatext"/>
              <w:numPr>
                <w:ilvl w:val="0"/>
                <w:numId w:val="30"/>
              </w:numPr>
              <w:jc w:val="both"/>
              <w:rPr>
                <w:szCs w:val="20"/>
              </w:rPr>
            </w:pPr>
            <w:r w:rsidRPr="00EC4C04">
              <w:rPr>
                <w:szCs w:val="20"/>
              </w:rPr>
              <w:t xml:space="preserve">Účastník je povinen před podáním nabídky řádně </w:t>
            </w:r>
            <w:r w:rsidR="00E54024">
              <w:rPr>
                <w:szCs w:val="20"/>
              </w:rPr>
              <w:t>tu</w:t>
            </w:r>
            <w:r w:rsidR="000B11AC">
              <w:rPr>
                <w:szCs w:val="20"/>
              </w:rPr>
              <w:t>to</w:t>
            </w:r>
            <w:r w:rsidR="00E54024">
              <w:rPr>
                <w:szCs w:val="20"/>
              </w:rPr>
              <w:t xml:space="preserve"> výzvu a</w:t>
            </w:r>
            <w:r w:rsidRPr="00EC4C04">
              <w:rPr>
                <w:szCs w:val="20"/>
              </w:rPr>
              <w:t xml:space="preserve"> zadávací dokumentaci prostudovat a řídit se zde stanovenými pokyny, termíny a specifikacemi. Pokud nabídka účastníka nebude obsahovat všechny náležitosti, požadované informace a dokumentaci a/nebo nebude plně odpovídat zadávacím podmínkám a/nebo nebude podána stanoveným způsobem ve stanoveném termínu, bude to mít za následek její vyřazení a následné vyloučení účastníka z výběrového řízení. Taktéž, bude-li nabídka účastníka obsahovat </w:t>
            </w:r>
            <w:r w:rsidRPr="00EC4C04">
              <w:rPr>
                <w:szCs w:val="20"/>
              </w:rPr>
              <w:lastRenderedPageBreak/>
              <w:t xml:space="preserve">jakoukoliv výhradu účastníka vůči zadávacím podmínkám, bude to mít za následek vyřazení nabídky a následné vyloučení účastníka z výběrového řízení. </w:t>
            </w:r>
          </w:p>
        </w:tc>
      </w:tr>
      <w:tr w:rsidR="005C6C32" w:rsidRPr="00E50090" w:rsidTr="00527329">
        <w:trPr>
          <w:trHeight w:val="20"/>
        </w:trPr>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630E04" w:rsidP="00D92737">
            <w:pPr>
              <w:pStyle w:val="Tabulkatext"/>
              <w:rPr>
                <w:b/>
                <w:bCs/>
              </w:rPr>
            </w:pPr>
            <w:r w:rsidRPr="00E50090">
              <w:rPr>
                <w:b/>
                <w:bCs/>
              </w:rPr>
              <w:lastRenderedPageBreak/>
              <w:t>Zadávací řízení se řídí</w:t>
            </w:r>
          </w:p>
        </w:tc>
        <w:tc>
          <w:tcPr>
            <w:tcW w:w="5740"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E50090" w:rsidRDefault="005C6C32" w:rsidP="007E6E16">
            <w:pPr>
              <w:pStyle w:val="Tabulkatext"/>
              <w:rPr>
                <w:u w:val="single"/>
              </w:rPr>
            </w:pPr>
            <w:r w:rsidRPr="00E50090">
              <w:rPr>
                <w:i/>
              </w:rPr>
              <w:t xml:space="preserve">Obecnou částí pravidel pro žadatele a příjemce v rámci </w:t>
            </w:r>
            <w:r w:rsidR="0019708B" w:rsidRPr="00E50090">
              <w:rPr>
                <w:i/>
              </w:rPr>
              <w:t>Operačního programu Zaměstnanost (</w:t>
            </w:r>
            <w:r w:rsidR="000E0DE8" w:rsidRPr="000E0DE8">
              <w:rPr>
                <w:i/>
                <w:color w:val="auto"/>
              </w:rPr>
              <w:t>verze 13</w:t>
            </w:r>
            <w:r w:rsidR="0019708B" w:rsidRPr="000E0DE8">
              <w:rPr>
                <w:i/>
                <w:color w:val="auto"/>
              </w:rPr>
              <w:t>)</w:t>
            </w:r>
            <w:r w:rsidRPr="000E0DE8">
              <w:rPr>
                <w:i/>
                <w:color w:val="auto"/>
              </w:rPr>
              <w:t>,</w:t>
            </w:r>
            <w:r w:rsidRPr="00CE0C65">
              <w:rPr>
                <w:i/>
                <w:color w:val="auto"/>
              </w:rPr>
              <w:t xml:space="preserve"> </w:t>
            </w:r>
            <w:r w:rsidRPr="00E50090">
              <w:rPr>
                <w:i/>
              </w:rPr>
              <w:t xml:space="preserve">na </w:t>
            </w:r>
            <w:r w:rsidR="0019708B" w:rsidRPr="00E50090">
              <w:rPr>
                <w:i/>
              </w:rPr>
              <w:t xml:space="preserve">toto </w:t>
            </w:r>
            <w:r w:rsidRPr="00E50090">
              <w:rPr>
                <w:i/>
              </w:rPr>
              <w:t>zadávací řízení se neaplikují ustanovení zákona č.</w:t>
            </w:r>
            <w:r w:rsidR="001D3B11">
              <w:rPr>
                <w:i/>
              </w:rPr>
              <w:t> </w:t>
            </w:r>
            <w:r w:rsidRPr="00E50090">
              <w:rPr>
                <w:i/>
              </w:rPr>
              <w:t>13</w:t>
            </w:r>
            <w:r w:rsidR="007E6E16">
              <w:rPr>
                <w:i/>
              </w:rPr>
              <w:t>4</w:t>
            </w:r>
            <w:r w:rsidRPr="00E50090">
              <w:rPr>
                <w:i/>
              </w:rPr>
              <w:t>/20</w:t>
            </w:r>
            <w:r w:rsidR="007E6E16">
              <w:rPr>
                <w:i/>
              </w:rPr>
              <w:t>1</w:t>
            </w:r>
            <w:r w:rsidRPr="00E50090">
              <w:rPr>
                <w:i/>
              </w:rPr>
              <w:t xml:space="preserve">6 Sb., o </w:t>
            </w:r>
            <w:r w:rsidR="007E6E16">
              <w:rPr>
                <w:i/>
              </w:rPr>
              <w:t xml:space="preserve">zadávání </w:t>
            </w:r>
            <w:r w:rsidRPr="00E50090">
              <w:rPr>
                <w:i/>
              </w:rPr>
              <w:t>veřejných zakáz</w:t>
            </w:r>
            <w:r w:rsidR="007E6E16">
              <w:rPr>
                <w:i/>
              </w:rPr>
              <w:t>e</w:t>
            </w:r>
            <w:r w:rsidRPr="00E50090">
              <w:rPr>
                <w:i/>
              </w:rPr>
              <w:t>k.</w:t>
            </w:r>
          </w:p>
        </w:tc>
      </w:tr>
      <w:tr w:rsidR="005C6C32" w:rsidRPr="00E50090" w:rsidTr="00527329">
        <w:trPr>
          <w:trHeight w:val="20"/>
        </w:trPr>
        <w:tc>
          <w:tcPr>
            <w:tcW w:w="8987"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5C6C32" w:rsidRPr="00E50090" w:rsidRDefault="005C6C32" w:rsidP="00057254">
            <w:pPr>
              <w:pStyle w:val="Tabulkatext"/>
              <w:rPr>
                <w:i/>
              </w:rPr>
            </w:pPr>
            <w:r w:rsidRPr="00E50090">
              <w:rPr>
                <w:b/>
                <w:bCs/>
              </w:rPr>
              <w:t>Dodavatelé budou vyrozumívání o výsledku</w:t>
            </w:r>
            <w:r w:rsidR="009A66A1" w:rsidRPr="00E50090">
              <w:rPr>
                <w:b/>
                <w:bCs/>
              </w:rPr>
              <w:t>,</w:t>
            </w:r>
            <w:r w:rsidRPr="00E50090">
              <w:rPr>
                <w:b/>
                <w:bCs/>
              </w:rPr>
              <w:t xml:space="preserve"> resp. zrušení zadávacího řízení a o příp. vyloučení nabídky prostřednictvím uveřejnění informace na </w:t>
            </w:r>
            <w:hyperlink r:id="rId12" w:history="1">
              <w:r w:rsidR="00057254" w:rsidRPr="00155872">
                <w:rPr>
                  <w:rStyle w:val="Hypertextovodkaz"/>
                  <w:b/>
                  <w:bCs/>
                </w:rPr>
                <w:t>www.hospic-pisek.cz</w:t>
              </w:r>
            </w:hyperlink>
            <w:r w:rsidRPr="00E50090">
              <w:rPr>
                <w:b/>
                <w:bCs/>
              </w:rPr>
              <w:t xml:space="preserve"> pod výše u</w:t>
            </w:r>
            <w:r w:rsidR="00BB0C81" w:rsidRPr="00E50090">
              <w:rPr>
                <w:b/>
                <w:bCs/>
              </w:rPr>
              <w:t>vedeným názvem veřejné zakázky.</w:t>
            </w:r>
          </w:p>
        </w:tc>
      </w:tr>
    </w:tbl>
    <w:p w:rsidR="005C6C32" w:rsidRDefault="005C6C32" w:rsidP="00D92737">
      <w:pPr>
        <w:rPr>
          <w:rFonts w:ascii="Arial" w:hAnsi="Arial" w:cs="Arial"/>
          <w:sz w:val="16"/>
          <w:szCs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128"/>
      </w:tblGrid>
      <w:tr w:rsidR="006445B9" w:rsidRPr="00CE0C65" w:rsidTr="000E0DE8">
        <w:trPr>
          <w:cantSplit/>
          <w:trHeight w:val="255"/>
        </w:trPr>
        <w:tc>
          <w:tcPr>
            <w:tcW w:w="3828" w:type="dxa"/>
            <w:shd w:val="clear" w:color="auto" w:fill="auto"/>
          </w:tcPr>
          <w:p w:rsidR="006445B9" w:rsidRPr="00AB2EFF" w:rsidRDefault="006445B9" w:rsidP="00D92737">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128" w:type="dxa"/>
            <w:shd w:val="clear" w:color="auto" w:fill="auto"/>
          </w:tcPr>
          <w:p w:rsidR="006445B9" w:rsidRPr="00AB2EFF" w:rsidRDefault="00E54024" w:rsidP="00D92737">
            <w:pPr>
              <w:pStyle w:val="A-ZprvaCSP-ods1dek"/>
              <w:keepNext/>
              <w:spacing w:after="240"/>
              <w:ind w:firstLine="0"/>
              <w:rPr>
                <w:rFonts w:ascii="Arial" w:hAnsi="Arial" w:cs="Arial"/>
                <w:sz w:val="20"/>
                <w:szCs w:val="20"/>
              </w:rPr>
            </w:pPr>
            <w:r>
              <w:rPr>
                <w:rFonts w:ascii="Arial" w:hAnsi="Arial" w:cs="Arial"/>
                <w:sz w:val="20"/>
                <w:szCs w:val="20"/>
              </w:rPr>
              <w:t xml:space="preserve">V Písku, dne </w:t>
            </w:r>
            <w:r w:rsidR="00DE2562">
              <w:rPr>
                <w:rFonts w:ascii="Arial" w:hAnsi="Arial" w:cs="Arial"/>
                <w:sz w:val="20"/>
                <w:szCs w:val="20"/>
                <w:highlight w:val="magenta"/>
              </w:rPr>
              <w:t>1. 11</w:t>
            </w:r>
            <w:r w:rsidR="001D194E" w:rsidRPr="00E96791">
              <w:rPr>
                <w:rFonts w:ascii="Arial" w:hAnsi="Arial" w:cs="Arial"/>
                <w:sz w:val="20"/>
                <w:szCs w:val="20"/>
                <w:highlight w:val="magenta"/>
              </w:rPr>
              <w:t>.</w:t>
            </w:r>
            <w:r w:rsidR="00057254" w:rsidRPr="00E96791">
              <w:rPr>
                <w:rFonts w:ascii="Arial" w:hAnsi="Arial" w:cs="Arial"/>
                <w:sz w:val="20"/>
                <w:szCs w:val="20"/>
                <w:highlight w:val="magenta"/>
              </w:rPr>
              <w:t xml:space="preserve"> 2024</w:t>
            </w:r>
            <w:r w:rsidR="006445B9" w:rsidRPr="00AB2EFF">
              <w:rPr>
                <w:rFonts w:ascii="Arial" w:hAnsi="Arial" w:cs="Arial"/>
                <w:sz w:val="20"/>
                <w:szCs w:val="20"/>
              </w:rPr>
              <w:tab/>
            </w:r>
            <w:r w:rsidR="006445B9" w:rsidRPr="00AB2EFF">
              <w:rPr>
                <w:rFonts w:ascii="Arial" w:hAnsi="Arial" w:cs="Arial"/>
                <w:sz w:val="20"/>
                <w:szCs w:val="20"/>
              </w:rPr>
              <w:tab/>
            </w:r>
          </w:p>
          <w:p w:rsidR="006445B9" w:rsidRPr="00AB2EFF" w:rsidRDefault="006445B9" w:rsidP="00D92737">
            <w:pPr>
              <w:pStyle w:val="Tabulkatext"/>
              <w:rPr>
                <w:rFonts w:ascii="Arial" w:hAnsi="Arial" w:cs="Arial"/>
                <w:szCs w:val="20"/>
              </w:rPr>
            </w:pPr>
          </w:p>
          <w:p w:rsidR="006445B9" w:rsidRPr="00AB2EFF" w:rsidRDefault="006445B9" w:rsidP="00D92737">
            <w:pPr>
              <w:pStyle w:val="Tabulkatext"/>
              <w:rPr>
                <w:rFonts w:ascii="Arial" w:hAnsi="Arial" w:cs="Arial"/>
                <w:szCs w:val="20"/>
              </w:rPr>
            </w:pPr>
          </w:p>
        </w:tc>
      </w:tr>
    </w:tbl>
    <w:p w:rsidR="006445B9" w:rsidRDefault="006445B9" w:rsidP="00D92737">
      <w:pPr>
        <w:rPr>
          <w:rFonts w:ascii="Arial" w:hAnsi="Arial" w:cs="Arial"/>
          <w:sz w:val="16"/>
          <w:szCs w:val="16"/>
        </w:rPr>
      </w:pPr>
    </w:p>
    <w:p w:rsidR="006445B9" w:rsidRDefault="006445B9" w:rsidP="00D92737">
      <w:pPr>
        <w:spacing w:after="0"/>
        <w:rPr>
          <w:rFonts w:ascii="Arial" w:eastAsia="Times New Roman" w:hAnsi="Arial" w:cs="Arial"/>
          <w:i/>
          <w:color w:val="auto"/>
          <w:lang w:eastAsia="cs-CZ"/>
        </w:rPr>
      </w:pPr>
      <w:r w:rsidRPr="006445B9">
        <w:rPr>
          <w:rFonts w:ascii="Arial" w:eastAsia="Times New Roman" w:hAnsi="Arial" w:cs="Arial"/>
          <w:i/>
          <w:color w:val="auto"/>
          <w:lang w:eastAsia="cs-CZ"/>
        </w:rPr>
        <w:t>Přílohy</w:t>
      </w:r>
      <w:r w:rsidR="001D194E">
        <w:rPr>
          <w:rFonts w:ascii="Arial" w:eastAsia="Times New Roman" w:hAnsi="Arial" w:cs="Arial"/>
          <w:i/>
          <w:color w:val="auto"/>
          <w:lang w:eastAsia="cs-CZ"/>
        </w:rPr>
        <w:t>:</w:t>
      </w:r>
    </w:p>
    <w:p w:rsidR="003F69DA" w:rsidRDefault="001D194E" w:rsidP="001D194E">
      <w:pPr>
        <w:pStyle w:val="Odstavecseseznamem"/>
        <w:numPr>
          <w:ilvl w:val="0"/>
          <w:numId w:val="31"/>
        </w:numPr>
        <w:spacing w:after="0"/>
        <w:rPr>
          <w:rFonts w:ascii="Arial" w:eastAsia="Times New Roman" w:hAnsi="Arial" w:cs="Arial"/>
          <w:i/>
          <w:color w:val="auto"/>
          <w:lang w:eastAsia="cs-CZ"/>
        </w:rPr>
      </w:pPr>
      <w:r>
        <w:rPr>
          <w:rFonts w:ascii="Arial" w:eastAsia="Times New Roman" w:hAnsi="Arial" w:cs="Arial"/>
          <w:i/>
          <w:color w:val="auto"/>
          <w:lang w:eastAsia="cs-CZ"/>
        </w:rPr>
        <w:t>Návrh kupní smlouvy</w:t>
      </w:r>
    </w:p>
    <w:p w:rsidR="001D194E" w:rsidRDefault="001D194E" w:rsidP="001D194E">
      <w:pPr>
        <w:pStyle w:val="Odstavecseseznamem"/>
        <w:numPr>
          <w:ilvl w:val="0"/>
          <w:numId w:val="31"/>
        </w:numPr>
        <w:spacing w:after="0"/>
        <w:rPr>
          <w:rFonts w:ascii="Arial" w:eastAsia="Times New Roman" w:hAnsi="Arial" w:cs="Arial"/>
          <w:i/>
          <w:color w:val="auto"/>
          <w:lang w:eastAsia="cs-CZ"/>
        </w:rPr>
      </w:pPr>
      <w:r>
        <w:rPr>
          <w:rFonts w:ascii="Arial" w:eastAsia="Times New Roman" w:hAnsi="Arial" w:cs="Arial"/>
          <w:i/>
          <w:color w:val="auto"/>
          <w:lang w:eastAsia="cs-CZ"/>
        </w:rPr>
        <w:t>Krycí list nabídky</w:t>
      </w:r>
    </w:p>
    <w:p w:rsidR="001D194E" w:rsidRPr="001D194E" w:rsidRDefault="001D194E" w:rsidP="001D194E">
      <w:pPr>
        <w:pStyle w:val="Odstavecseseznamem"/>
        <w:numPr>
          <w:ilvl w:val="0"/>
          <w:numId w:val="31"/>
        </w:numPr>
        <w:spacing w:after="0"/>
        <w:rPr>
          <w:rFonts w:ascii="Arial" w:eastAsia="Times New Roman" w:hAnsi="Arial" w:cs="Arial"/>
          <w:i/>
          <w:color w:val="auto"/>
          <w:lang w:eastAsia="cs-CZ"/>
        </w:rPr>
      </w:pPr>
      <w:r>
        <w:rPr>
          <w:rFonts w:ascii="Arial" w:eastAsia="Times New Roman" w:hAnsi="Arial" w:cs="Arial"/>
          <w:i/>
          <w:color w:val="auto"/>
          <w:lang w:eastAsia="cs-CZ"/>
        </w:rPr>
        <w:t>Vzor česného prohlášení - způsobilost</w:t>
      </w:r>
    </w:p>
    <w:p w:rsidR="003F69DA" w:rsidRDefault="003F69DA" w:rsidP="00D92737">
      <w:pPr>
        <w:spacing w:after="0"/>
        <w:rPr>
          <w:rFonts w:ascii="Arial" w:eastAsia="Times New Roman" w:hAnsi="Arial" w:cs="Arial"/>
          <w:i/>
          <w:color w:val="auto"/>
          <w:lang w:eastAsia="cs-CZ"/>
        </w:rPr>
      </w:pPr>
    </w:p>
    <w:p w:rsidR="005C6C32" w:rsidRPr="006445B9" w:rsidRDefault="005C6C32" w:rsidP="00D92737">
      <w:pPr>
        <w:rPr>
          <w:i/>
        </w:rPr>
      </w:pPr>
      <w:r w:rsidRPr="006445B9">
        <w:rPr>
          <w:i/>
        </w:rPr>
        <w:t xml:space="preserve">Podrobná specifikace údajů uvedených ve výzvě nebo další podmínky pro plnění zakázky mohou být uvedeny také </w:t>
      </w:r>
      <w:r w:rsidRPr="006445B9">
        <w:rPr>
          <w:bCs/>
          <w:i/>
        </w:rPr>
        <w:t>v </w:t>
      </w:r>
      <w:r w:rsidR="00DB5DBD">
        <w:rPr>
          <w:bCs/>
          <w:i/>
        </w:rPr>
        <w:t>příloze</w:t>
      </w:r>
      <w:r w:rsidRPr="006445B9">
        <w:rPr>
          <w:i/>
        </w:rPr>
        <w:t xml:space="preserve">. </w:t>
      </w:r>
    </w:p>
    <w:p w:rsidR="005C6C32" w:rsidRPr="00E50090" w:rsidRDefault="005C6C32" w:rsidP="00D92737"/>
    <w:sectPr w:rsidR="005C6C32" w:rsidRPr="00E50090" w:rsidSect="00830A79">
      <w:headerReference w:type="default" r:id="rId13"/>
      <w:footerReference w:type="default" r:id="rId14"/>
      <w:headerReference w:type="first" r:id="rId15"/>
      <w:footerReference w:type="first" r:id="rId16"/>
      <w:pgSz w:w="11906" w:h="16838" w:code="9"/>
      <w:pgMar w:top="141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71" w:rsidRDefault="00ED3171" w:rsidP="00744469">
      <w:pPr>
        <w:spacing w:after="0"/>
      </w:pPr>
      <w:r>
        <w:separator/>
      </w:r>
    </w:p>
  </w:endnote>
  <w:endnote w:type="continuationSeparator" w:id="0">
    <w:p w:rsidR="00ED3171" w:rsidRDefault="00ED3171"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4"/>
      <w:gridCol w:w="3022"/>
    </w:tblGrid>
    <w:tr w:rsidR="00A47B09" w:rsidTr="00830A79">
      <w:tc>
        <w:tcPr>
          <w:tcW w:w="5000" w:type="pct"/>
          <w:gridSpan w:val="3"/>
          <w:shd w:val="clear" w:color="auto" w:fill="auto"/>
          <w:vAlign w:val="center"/>
        </w:tcPr>
        <w:p w:rsidR="00A47B09" w:rsidRDefault="00A47B09" w:rsidP="00F543E8">
          <w:pPr>
            <w:pStyle w:val="Tabulkazhlav"/>
          </w:pPr>
        </w:p>
      </w:tc>
    </w:tr>
    <w:tr w:rsidR="00A47B09" w:rsidTr="00830A79">
      <w:tc>
        <w:tcPr>
          <w:tcW w:w="1667" w:type="pct"/>
          <w:shd w:val="clear" w:color="auto" w:fill="auto"/>
          <w:vAlign w:val="center"/>
        </w:tcPr>
        <w:p w:rsidR="00A47B09" w:rsidRDefault="00A47B09" w:rsidP="00E073EC">
          <w:pPr>
            <w:pStyle w:val="Tabulkatext"/>
          </w:pPr>
        </w:p>
      </w:tc>
      <w:tc>
        <w:tcPr>
          <w:tcW w:w="1667" w:type="pct"/>
          <w:shd w:val="clear" w:color="auto" w:fill="auto"/>
          <w:vAlign w:val="center"/>
        </w:tcPr>
        <w:p w:rsidR="00A47B09" w:rsidRDefault="00A47B09" w:rsidP="00015461">
          <w:pPr>
            <w:pStyle w:val="Tabulkatext"/>
            <w:jc w:val="center"/>
          </w:pPr>
        </w:p>
      </w:tc>
      <w:tc>
        <w:tcPr>
          <w:tcW w:w="1667" w:type="pct"/>
          <w:shd w:val="clear" w:color="auto" w:fill="auto"/>
          <w:vAlign w:val="center"/>
        </w:tcPr>
        <w:p w:rsidR="00A47B09" w:rsidRDefault="00A47B09" w:rsidP="00E073EC">
          <w:pPr>
            <w:pStyle w:val="Tabulkatext"/>
            <w:jc w:val="right"/>
          </w:pPr>
          <w:r>
            <w:t xml:space="preserve">Strana: </w:t>
          </w:r>
          <w:r>
            <w:fldChar w:fldCharType="begin"/>
          </w:r>
          <w:r>
            <w:instrText xml:space="preserve"> PAGE   \* MERGEFORMAT </w:instrText>
          </w:r>
          <w:r>
            <w:fldChar w:fldCharType="separate"/>
          </w:r>
          <w:r w:rsidR="00DE2562">
            <w:rPr>
              <w:noProof/>
            </w:rPr>
            <w:t>1</w:t>
          </w:r>
          <w:r>
            <w:fldChar w:fldCharType="end"/>
          </w:r>
          <w:proofErr w:type="gramStart"/>
          <w:r>
            <w:t xml:space="preserve"> z </w:t>
          </w:r>
          <w:proofErr w:type="gramEnd"/>
          <w:r w:rsidR="003F3D4B">
            <w:rPr>
              <w:noProof/>
            </w:rPr>
            <w:fldChar w:fldCharType="begin"/>
          </w:r>
          <w:r w:rsidR="003F3D4B">
            <w:rPr>
              <w:noProof/>
            </w:rPr>
            <w:instrText xml:space="preserve"> NUMPAGES   \* MERGEFORMAT </w:instrText>
          </w:r>
          <w:r w:rsidR="003F3D4B">
            <w:rPr>
              <w:noProof/>
            </w:rPr>
            <w:fldChar w:fldCharType="separate"/>
          </w:r>
          <w:r w:rsidR="00DE2562">
            <w:rPr>
              <w:noProof/>
            </w:rPr>
            <w:t>8</w:t>
          </w:r>
          <w:r w:rsidR="003F3D4B">
            <w:rPr>
              <w:noProof/>
            </w:rPr>
            <w:fldChar w:fldCharType="end"/>
          </w:r>
        </w:p>
      </w:tc>
    </w:tr>
  </w:tbl>
  <w:p w:rsidR="00830A79" w:rsidRDefault="00830A7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4"/>
      <w:gridCol w:w="3022"/>
    </w:tblGrid>
    <w:tr w:rsidR="00A34F9E" w:rsidRPr="007B628A" w:rsidTr="00A34F9E">
      <w:tc>
        <w:tcPr>
          <w:tcW w:w="5000" w:type="pct"/>
          <w:gridSpan w:val="3"/>
          <w:shd w:val="clear" w:color="auto" w:fill="auto"/>
          <w:vAlign w:val="center"/>
        </w:tcPr>
        <w:p w:rsidR="00A34F9E" w:rsidRPr="00A34F9E" w:rsidRDefault="00A34F9E" w:rsidP="00A34F9E">
          <w:pPr>
            <w:pStyle w:val="Tabulkazhlav"/>
            <w:rPr>
              <w:b w:val="0"/>
            </w:rPr>
          </w:pPr>
        </w:p>
      </w:tc>
    </w:tr>
    <w:tr w:rsidR="00A34F9E" w:rsidTr="00A34F9E">
      <w:tc>
        <w:tcPr>
          <w:tcW w:w="1667" w:type="pct"/>
          <w:shd w:val="clear" w:color="auto" w:fill="auto"/>
          <w:vAlign w:val="center"/>
        </w:tcPr>
        <w:p w:rsidR="00A34F9E" w:rsidRDefault="00A34F9E" w:rsidP="002E290A">
          <w:pPr>
            <w:pStyle w:val="Tabulkatext"/>
          </w:pPr>
        </w:p>
      </w:tc>
      <w:tc>
        <w:tcPr>
          <w:tcW w:w="1667" w:type="pct"/>
          <w:shd w:val="clear" w:color="auto" w:fill="auto"/>
          <w:vAlign w:val="center"/>
        </w:tcPr>
        <w:p w:rsidR="00A34F9E" w:rsidRDefault="00A34F9E" w:rsidP="002E290A">
          <w:pPr>
            <w:pStyle w:val="Tabulkatext"/>
            <w:jc w:val="center"/>
          </w:pPr>
        </w:p>
      </w:tc>
      <w:tc>
        <w:tcPr>
          <w:tcW w:w="1666" w:type="pct"/>
          <w:shd w:val="clear" w:color="auto" w:fill="auto"/>
          <w:vAlign w:val="center"/>
        </w:tcPr>
        <w:p w:rsidR="00A34F9E" w:rsidRDefault="00A34F9E" w:rsidP="002E290A">
          <w:pPr>
            <w:pStyle w:val="Tabulkatext"/>
            <w:jc w:val="right"/>
          </w:pPr>
          <w:r>
            <w:t xml:space="preserve">Strana: </w:t>
          </w:r>
          <w:r>
            <w:fldChar w:fldCharType="begin"/>
          </w:r>
          <w:r>
            <w:instrText xml:space="preserve"> PAGE   \* MERGEFORMAT </w:instrText>
          </w:r>
          <w:r>
            <w:fldChar w:fldCharType="separate"/>
          </w:r>
          <w:proofErr w:type="gramStart"/>
          <w:r w:rsidR="00830A79">
            <w:rPr>
              <w:noProof/>
            </w:rPr>
            <w:t>1</w:t>
          </w:r>
          <w:r>
            <w:fldChar w:fldCharType="end"/>
          </w:r>
          <w:r>
            <w:t xml:space="preserve"> z </w:t>
          </w:r>
          <w:r w:rsidR="003F3D4B">
            <w:rPr>
              <w:noProof/>
            </w:rPr>
            <w:fldChar w:fldCharType="begin"/>
          </w:r>
          <w:r w:rsidR="003F3D4B">
            <w:rPr>
              <w:noProof/>
            </w:rPr>
            <w:instrText xml:space="preserve"> NUMPAGES   \* MERGEFORMAT </w:instrText>
          </w:r>
          <w:r w:rsidR="003F3D4B">
            <w:rPr>
              <w:noProof/>
            </w:rPr>
            <w:fldChar w:fldCharType="separate"/>
          </w:r>
          <w:r w:rsidR="00E96791">
            <w:rPr>
              <w:noProof/>
            </w:rPr>
            <w:t>7</w:t>
          </w:r>
          <w:proofErr w:type="gramEnd"/>
          <w:r w:rsidR="003F3D4B">
            <w:rPr>
              <w:noProof/>
            </w:rPr>
            <w:fldChar w:fldCharType="end"/>
          </w:r>
        </w:p>
      </w:tc>
    </w:tr>
  </w:tbl>
  <w:p w:rsidR="00A34F9E" w:rsidRDefault="00A34F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71" w:rsidRDefault="00ED3171" w:rsidP="00744469">
      <w:pPr>
        <w:spacing w:after="0"/>
      </w:pPr>
      <w:r>
        <w:separator/>
      </w:r>
    </w:p>
  </w:footnote>
  <w:footnote w:type="continuationSeparator" w:id="0">
    <w:p w:rsidR="00ED3171" w:rsidRDefault="00ED3171" w:rsidP="00744469">
      <w:pPr>
        <w:spacing w:after="0"/>
      </w:pPr>
      <w:r>
        <w:continuationSeparator/>
      </w:r>
    </w:p>
  </w:footnote>
  <w:footnote w:id="1">
    <w:p w:rsidR="00DA7A8F" w:rsidRDefault="00DA7A8F" w:rsidP="00DA7A8F">
      <w:pPr>
        <w:pStyle w:val="Textpoznpodarou"/>
      </w:pPr>
      <w:r>
        <w:rPr>
          <w:rStyle w:val="Znakapoznpodarou"/>
        </w:rPr>
        <w:footnoteRef/>
      </w:r>
      <w:r>
        <w:t xml:space="preserve"> Osobou oprávněnou jednat za dodavatele se rozumí osoba jednající na základě plné moci od statutárního orgánu.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79" w:rsidRDefault="00830A79">
    <w:pPr>
      <w:pStyle w:val="Zhlav"/>
    </w:pPr>
  </w:p>
  <w:p w:rsidR="00830A79" w:rsidRDefault="00F13A98">
    <w:pPr>
      <w:pStyle w:val="Zhlav"/>
    </w:pPr>
    <w:r>
      <w:rPr>
        <w:noProof/>
        <w:lang w:eastAsia="cs-CZ"/>
      </w:rPr>
      <w:drawing>
        <wp:inline distT="0" distB="0" distL="0" distR="0">
          <wp:extent cx="5759450" cy="694817"/>
          <wp:effectExtent l="0" t="0" r="0" b="0"/>
          <wp:docPr id="2" name="Obrázek 2" descr="https://irop.gov.cz/getmedia/57c6e203-09b7-41a0-aef8-636c1004de15/EU-MMR-Barevne-CMYK.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gov.cz/getmedia/57c6e203-09b7-41a0-aef8-636c1004de15/EU-MMR-Barevne-CMYK.jpg.as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481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9E" w:rsidRDefault="00A34F9E">
    <w:pPr>
      <w:pStyle w:val="Zhlav"/>
    </w:pPr>
    <w:r>
      <w:rPr>
        <w:noProof/>
        <w:lang w:eastAsia="cs-CZ"/>
      </w:rPr>
      <w:drawing>
        <wp:inline distT="0" distB="0" distL="0" distR="0" wp14:anchorId="2A26EC1C" wp14:editId="323CBB0D">
          <wp:extent cx="2867025" cy="591193"/>
          <wp:effectExtent l="0" t="0" r="0" b="0"/>
          <wp:docPr id="6" name="Obrázek 6"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ul"/>
      </v:shape>
    </w:pict>
  </w:numPicBullet>
  <w:abstractNum w:abstractNumId="0"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F1AFA"/>
    <w:multiLevelType w:val="hybridMultilevel"/>
    <w:tmpl w:val="4F340820"/>
    <w:lvl w:ilvl="0" w:tplc="CBFC1596">
      <w:start w:val="1"/>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 w15:restartNumberingAfterBreak="0">
    <w:nsid w:val="08414CE6"/>
    <w:multiLevelType w:val="hybridMultilevel"/>
    <w:tmpl w:val="87261DB8"/>
    <w:lvl w:ilvl="0" w:tplc="91CAA0E2">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3"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C1DB2"/>
    <w:multiLevelType w:val="hybridMultilevel"/>
    <w:tmpl w:val="0C185B4A"/>
    <w:lvl w:ilvl="0" w:tplc="266C5638">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5" w15:restartNumberingAfterBreak="0">
    <w:nsid w:val="123065D3"/>
    <w:multiLevelType w:val="hybridMultilevel"/>
    <w:tmpl w:val="ABA08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C7D57"/>
    <w:multiLevelType w:val="hybridMultilevel"/>
    <w:tmpl w:val="A6243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724902"/>
    <w:multiLevelType w:val="hybridMultilevel"/>
    <w:tmpl w:val="9D36CCA0"/>
    <w:lvl w:ilvl="0" w:tplc="8CB213FC">
      <w:numFmt w:val="bullet"/>
      <w:lvlText w:val="-"/>
      <w:lvlJc w:val="left"/>
      <w:pPr>
        <w:ind w:left="720" w:hanging="360"/>
      </w:pPr>
      <w:rPr>
        <w:rFonts w:ascii="Arial" w:eastAsia="Times New Roman" w:hAnsi="Arial" w:hint="default"/>
      </w:rPr>
    </w:lvl>
    <w:lvl w:ilvl="1" w:tplc="8CB213FC">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9B1710"/>
    <w:multiLevelType w:val="multilevel"/>
    <w:tmpl w:val="8868724C"/>
    <w:lvl w:ilvl="0">
      <w:start w:val="1"/>
      <w:numFmt w:val="bullet"/>
      <w:lvlText w:val=""/>
      <w:lvlJc w:val="left"/>
      <w:pPr>
        <w:tabs>
          <w:tab w:val="num" w:pos="284"/>
        </w:tabs>
        <w:ind w:left="284" w:hanging="284"/>
      </w:pPr>
      <w:rPr>
        <w:rFonts w:ascii="Wingdings" w:hAnsi="Wingdings" w:hint="default"/>
        <w:color w:val="505050" w:themeColor="accent1"/>
        <w:sz w:val="22"/>
        <w:szCs w:val="22"/>
      </w:rPr>
    </w:lvl>
    <w:lvl w:ilvl="1">
      <w:start w:val="1"/>
      <w:numFmt w:val="bullet"/>
      <w:lvlText w:val=""/>
      <w:lvlJc w:val="left"/>
      <w:pPr>
        <w:tabs>
          <w:tab w:val="num" w:pos="567"/>
        </w:tabs>
        <w:ind w:left="567" w:hanging="283"/>
      </w:pPr>
      <w:rPr>
        <w:rFonts w:ascii="Symbol" w:hAnsi="Symbol" w:hint="default"/>
        <w:color w:val="50505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427D62"/>
    <w:multiLevelType w:val="hybridMultilevel"/>
    <w:tmpl w:val="21400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3F1415"/>
    <w:multiLevelType w:val="hybridMultilevel"/>
    <w:tmpl w:val="563E20E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4ED507E9"/>
    <w:multiLevelType w:val="hybridMultilevel"/>
    <w:tmpl w:val="A13E2FB8"/>
    <w:lvl w:ilvl="0" w:tplc="2DC2C35C">
      <w:start w:val="1"/>
      <w:numFmt w:val="upperLetter"/>
      <w:lvlText w:val="%1."/>
      <w:lvlJc w:val="left"/>
      <w:pPr>
        <w:ind w:left="1488" w:hanging="360"/>
      </w:pPr>
      <w:rPr>
        <w:b/>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7" w15:restartNumberingAfterBreak="0">
    <w:nsid w:val="4F9D06C2"/>
    <w:multiLevelType w:val="hybridMultilevel"/>
    <w:tmpl w:val="A6FA60E2"/>
    <w:lvl w:ilvl="0" w:tplc="85A8F362">
      <w:start w:val="1"/>
      <w:numFmt w:val="bullet"/>
      <w:lvlText w:val="-"/>
      <w:lvlJc w:val="left"/>
      <w:pPr>
        <w:ind w:left="777" w:hanging="360"/>
      </w:pPr>
      <w:rPr>
        <w:rFonts w:ascii="Arial" w:eastAsiaTheme="minorHAnsi"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8" w15:restartNumberingAfterBreak="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AA0622"/>
    <w:multiLevelType w:val="hybridMultilevel"/>
    <w:tmpl w:val="FCE8EC4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5CA45713"/>
    <w:multiLevelType w:val="hybridMultilevel"/>
    <w:tmpl w:val="82987DF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15:restartNumberingAfterBreak="0">
    <w:nsid w:val="6825176C"/>
    <w:multiLevelType w:val="hybridMultilevel"/>
    <w:tmpl w:val="2D462326"/>
    <w:lvl w:ilvl="0" w:tplc="04050001">
      <w:start w:val="1"/>
      <w:numFmt w:val="bullet"/>
      <w:lvlText w:val=""/>
      <w:lvlJc w:val="left"/>
      <w:pPr>
        <w:ind w:left="777" w:hanging="360"/>
      </w:pPr>
      <w:rPr>
        <w:rFonts w:ascii="Symbol" w:hAnsi="Symbol" w:hint="default"/>
      </w:rPr>
    </w:lvl>
    <w:lvl w:ilvl="1" w:tplc="04050003">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num w:numId="1">
    <w:abstractNumId w:val="0"/>
  </w:num>
  <w:num w:numId="2">
    <w:abstractNumId w:val="3"/>
  </w:num>
  <w:num w:numId="3">
    <w:abstractNumId w:val="11"/>
  </w:num>
  <w:num w:numId="4">
    <w:abstractNumId w:val="14"/>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bullet"/>
        <w:pStyle w:val="Odrky1"/>
        <w:lvlText w:val=""/>
        <w:lvlJc w:val="left"/>
        <w:pPr>
          <w:tabs>
            <w:tab w:val="num" w:pos="284"/>
          </w:tabs>
          <w:ind w:left="284" w:hanging="284"/>
        </w:pPr>
        <w:rPr>
          <w:rFonts w:ascii="Wingdings" w:hAnsi="Wingdings" w:hint="default"/>
          <w:color w:val="505050" w:themeColor="accent1"/>
          <w:sz w:val="22"/>
        </w:rPr>
      </w:lvl>
    </w:lvlOverride>
    <w:lvlOverride w:ilvl="1">
      <w:lvl w:ilvl="1">
        <w:start w:val="1"/>
        <w:numFmt w:val="bullet"/>
        <w:pStyle w:val="Odrky2"/>
        <w:lvlText w:val=""/>
        <w:lvlJc w:val="left"/>
        <w:pPr>
          <w:tabs>
            <w:tab w:val="num" w:pos="567"/>
          </w:tabs>
          <w:ind w:left="567" w:hanging="283"/>
        </w:pPr>
        <w:rPr>
          <w:rFonts w:ascii="Symbol" w:hAnsi="Symbol" w:hint="default"/>
          <w:color w:val="505050" w:themeColor="accent1"/>
        </w:rPr>
      </w:lvl>
    </w:lvlOverride>
    <w:lvlOverride w:ilvl="2">
      <w:lvl w:ilvl="2">
        <w:start w:val="1"/>
        <w:numFmt w:val="bullet"/>
        <w:pStyle w:val="Odrky3"/>
        <w:lvlText w:val=""/>
        <w:lvlJc w:val="left"/>
        <w:pPr>
          <w:tabs>
            <w:tab w:val="num" w:pos="851"/>
          </w:tabs>
          <w:ind w:left="851" w:hanging="284"/>
        </w:pPr>
        <w:rPr>
          <w:rFonts w:ascii="Wingdings 2" w:hAnsi="Wingdings 2" w:hint="default"/>
          <w:color w:val="505050" w:themeColor="accent1"/>
        </w:rPr>
      </w:lvl>
    </w:lvlOverride>
    <w:lvlOverride w:ilvl="3">
      <w:lvl w:ilvl="3">
        <w:start w:val="1"/>
        <w:numFmt w:val="bullet"/>
        <w:pStyle w:val="Odrky4"/>
        <w:lvlText w:val=""/>
        <w:lvlJc w:val="left"/>
        <w:pPr>
          <w:ind w:left="2880" w:hanging="360"/>
        </w:pPr>
        <w:rPr>
          <w:rFonts w:ascii="Symbol" w:hAnsi="Symbol" w:hint="default"/>
        </w:rPr>
      </w:lvl>
    </w:lvlOverride>
    <w:lvlOverride w:ilvl="4">
      <w:lvl w:ilvl="4">
        <w:start w:val="1"/>
        <w:numFmt w:val="bullet"/>
        <w:pStyle w:val="Odrky5"/>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abstractNumId w:val="12"/>
  </w:num>
  <w:num w:numId="10">
    <w:abstractNumId w:val="8"/>
  </w:num>
  <w:num w:numId="11">
    <w:abstractNumId w:val="8"/>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8"/>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5"/>
  </w:num>
  <w:num w:numId="14">
    <w:abstractNumId w:val="8"/>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lvlOverride w:ilvl="0">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Override>
    <w:lvlOverride w:ilvl="2">
      <w:lvl w:ilvl="2">
        <w:start w:val="1"/>
        <w:numFmt w:val="bullet"/>
        <w:pStyle w:val="Odrky3"/>
        <w:lvlText w:val=""/>
        <w:lvlJc w:val="left"/>
        <w:pPr>
          <w:tabs>
            <w:tab w:val="num" w:pos="1191"/>
          </w:tabs>
          <w:ind w:left="1191" w:hanging="397"/>
        </w:pPr>
        <w:rPr>
          <w:rFonts w:ascii="Wingdings 2" w:hAnsi="Wingdings 2" w:hint="default"/>
          <w:color w:val="505050" w:themeColor="accent1"/>
        </w:rPr>
      </w:lvl>
    </w:lvlOverride>
    <w:lvlOverride w:ilvl="3">
      <w:lvl w:ilvl="3">
        <w:start w:val="1"/>
        <w:numFmt w:val="bullet"/>
        <w:pStyle w:val="Odrky4"/>
        <w:lvlText w:val=""/>
        <w:lvlJc w:val="left"/>
        <w:pPr>
          <w:tabs>
            <w:tab w:val="num" w:pos="1588"/>
          </w:tabs>
          <w:ind w:left="1588" w:hanging="397"/>
        </w:pPr>
        <w:rPr>
          <w:rFonts w:ascii="Wingdings 2" w:hAnsi="Wingdings 2" w:hint="default"/>
          <w:color w:val="505050" w:themeColor="accent1"/>
        </w:rPr>
      </w:lvl>
    </w:lvlOverride>
    <w:lvlOverride w:ilvl="4">
      <w:lvl w:ilvl="4">
        <w:start w:val="1"/>
        <w:numFmt w:val="bullet"/>
        <w:pStyle w:val="Odrky5"/>
        <w:lvlText w:val=""/>
        <w:lvlJc w:val="left"/>
        <w:pPr>
          <w:tabs>
            <w:tab w:val="num" w:pos="1985"/>
          </w:tabs>
          <w:ind w:left="1985" w:hanging="397"/>
        </w:pPr>
        <w:rPr>
          <w:rFonts w:ascii="Wingdings 2" w:hAnsi="Wingdings 2"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abstractNumId w:val="18"/>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16"/>
  </w:num>
  <w:num w:numId="23">
    <w:abstractNumId w:val="19"/>
  </w:num>
  <w:num w:numId="24">
    <w:abstractNumId w:val="20"/>
  </w:num>
  <w:num w:numId="25">
    <w:abstractNumId w:val="15"/>
  </w:num>
  <w:num w:numId="26">
    <w:abstractNumId w:val="21"/>
  </w:num>
  <w:num w:numId="27">
    <w:abstractNumId w:val="2"/>
  </w:num>
  <w:num w:numId="28">
    <w:abstractNumId w:val="17"/>
  </w:num>
  <w:num w:numId="29">
    <w:abstractNumId w:val="10"/>
  </w:num>
  <w:num w:numId="30">
    <w:abstractNumId w:val="1"/>
  </w:num>
  <w:num w:numId="31">
    <w:abstractNumId w:val="13"/>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5461"/>
    <w:rsid w:val="000217DF"/>
    <w:rsid w:val="000532DA"/>
    <w:rsid w:val="000551A1"/>
    <w:rsid w:val="00055362"/>
    <w:rsid w:val="00057254"/>
    <w:rsid w:val="00057C9B"/>
    <w:rsid w:val="00065731"/>
    <w:rsid w:val="00067B65"/>
    <w:rsid w:val="00067F8E"/>
    <w:rsid w:val="00073CC8"/>
    <w:rsid w:val="00077D88"/>
    <w:rsid w:val="000832E1"/>
    <w:rsid w:val="00083CEB"/>
    <w:rsid w:val="00084CE4"/>
    <w:rsid w:val="000A1FE3"/>
    <w:rsid w:val="000B11AC"/>
    <w:rsid w:val="000B25D8"/>
    <w:rsid w:val="000B553D"/>
    <w:rsid w:val="000C0FA8"/>
    <w:rsid w:val="000E0DE8"/>
    <w:rsid w:val="000E11BF"/>
    <w:rsid w:val="000F0056"/>
    <w:rsid w:val="000F5592"/>
    <w:rsid w:val="0011753D"/>
    <w:rsid w:val="00121E84"/>
    <w:rsid w:val="00137832"/>
    <w:rsid w:val="001641A3"/>
    <w:rsid w:val="001673AF"/>
    <w:rsid w:val="001776A7"/>
    <w:rsid w:val="001819EE"/>
    <w:rsid w:val="00184F3F"/>
    <w:rsid w:val="00185596"/>
    <w:rsid w:val="00194656"/>
    <w:rsid w:val="0019708B"/>
    <w:rsid w:val="001A735A"/>
    <w:rsid w:val="001B1706"/>
    <w:rsid w:val="001B4C24"/>
    <w:rsid w:val="001B55D7"/>
    <w:rsid w:val="001C08A2"/>
    <w:rsid w:val="001D0E96"/>
    <w:rsid w:val="001D1395"/>
    <w:rsid w:val="001D194E"/>
    <w:rsid w:val="001D3B11"/>
    <w:rsid w:val="001D3DFE"/>
    <w:rsid w:val="001D5560"/>
    <w:rsid w:val="00201111"/>
    <w:rsid w:val="00202271"/>
    <w:rsid w:val="0020570D"/>
    <w:rsid w:val="002150AA"/>
    <w:rsid w:val="002319F2"/>
    <w:rsid w:val="00242AA0"/>
    <w:rsid w:val="00244DFD"/>
    <w:rsid w:val="00265BDF"/>
    <w:rsid w:val="002671A0"/>
    <w:rsid w:val="00274D99"/>
    <w:rsid w:val="00282E14"/>
    <w:rsid w:val="00283A91"/>
    <w:rsid w:val="0028620C"/>
    <w:rsid w:val="002866E8"/>
    <w:rsid w:val="00287DE2"/>
    <w:rsid w:val="002921D1"/>
    <w:rsid w:val="002B1E17"/>
    <w:rsid w:val="002B3FC2"/>
    <w:rsid w:val="002B6E2F"/>
    <w:rsid w:val="002C4D5F"/>
    <w:rsid w:val="002D4DD2"/>
    <w:rsid w:val="002D7766"/>
    <w:rsid w:val="002F4386"/>
    <w:rsid w:val="00301913"/>
    <w:rsid w:val="00302400"/>
    <w:rsid w:val="00306C59"/>
    <w:rsid w:val="00330790"/>
    <w:rsid w:val="00334D40"/>
    <w:rsid w:val="00336C7B"/>
    <w:rsid w:val="00342EB6"/>
    <w:rsid w:val="00361FFC"/>
    <w:rsid w:val="0038447D"/>
    <w:rsid w:val="003851E9"/>
    <w:rsid w:val="00394C90"/>
    <w:rsid w:val="00394E65"/>
    <w:rsid w:val="00395011"/>
    <w:rsid w:val="00395A3F"/>
    <w:rsid w:val="003A12E7"/>
    <w:rsid w:val="003A5621"/>
    <w:rsid w:val="003A5981"/>
    <w:rsid w:val="003B1163"/>
    <w:rsid w:val="003B6F5A"/>
    <w:rsid w:val="003D1849"/>
    <w:rsid w:val="003E5795"/>
    <w:rsid w:val="003F02C5"/>
    <w:rsid w:val="003F3D4B"/>
    <w:rsid w:val="003F69DA"/>
    <w:rsid w:val="00407363"/>
    <w:rsid w:val="004162EF"/>
    <w:rsid w:val="004354DE"/>
    <w:rsid w:val="004415B1"/>
    <w:rsid w:val="004461FB"/>
    <w:rsid w:val="00453C75"/>
    <w:rsid w:val="004548E9"/>
    <w:rsid w:val="00455567"/>
    <w:rsid w:val="00497ED7"/>
    <w:rsid w:val="004B48DE"/>
    <w:rsid w:val="004C6F44"/>
    <w:rsid w:val="004C721F"/>
    <w:rsid w:val="004D73F0"/>
    <w:rsid w:val="004E1CAE"/>
    <w:rsid w:val="004E5D87"/>
    <w:rsid w:val="004F300B"/>
    <w:rsid w:val="00512C01"/>
    <w:rsid w:val="00527329"/>
    <w:rsid w:val="005278BA"/>
    <w:rsid w:val="00536184"/>
    <w:rsid w:val="00536CEE"/>
    <w:rsid w:val="0055203F"/>
    <w:rsid w:val="00556F01"/>
    <w:rsid w:val="00567C05"/>
    <w:rsid w:val="00573732"/>
    <w:rsid w:val="00597E60"/>
    <w:rsid w:val="005B626E"/>
    <w:rsid w:val="005B66CA"/>
    <w:rsid w:val="005B7AFA"/>
    <w:rsid w:val="005C17E5"/>
    <w:rsid w:val="005C19CB"/>
    <w:rsid w:val="005C28D2"/>
    <w:rsid w:val="005C6C32"/>
    <w:rsid w:val="005D7987"/>
    <w:rsid w:val="005E0D6D"/>
    <w:rsid w:val="005E72E4"/>
    <w:rsid w:val="005F6058"/>
    <w:rsid w:val="00605AF1"/>
    <w:rsid w:val="0062246E"/>
    <w:rsid w:val="00630805"/>
    <w:rsid w:val="00630E04"/>
    <w:rsid w:val="00640D76"/>
    <w:rsid w:val="006445B9"/>
    <w:rsid w:val="00644B7D"/>
    <w:rsid w:val="00647088"/>
    <w:rsid w:val="00653116"/>
    <w:rsid w:val="00667155"/>
    <w:rsid w:val="00671782"/>
    <w:rsid w:val="006718E7"/>
    <w:rsid w:val="0068462F"/>
    <w:rsid w:val="00685750"/>
    <w:rsid w:val="00694A19"/>
    <w:rsid w:val="006B0ED5"/>
    <w:rsid w:val="006B3320"/>
    <w:rsid w:val="006B7AD7"/>
    <w:rsid w:val="006C18EF"/>
    <w:rsid w:val="006D2EC2"/>
    <w:rsid w:val="006D4968"/>
    <w:rsid w:val="006D6F9B"/>
    <w:rsid w:val="006D7FC5"/>
    <w:rsid w:val="006F114E"/>
    <w:rsid w:val="006F7E2F"/>
    <w:rsid w:val="007021C1"/>
    <w:rsid w:val="00706BD4"/>
    <w:rsid w:val="0071660A"/>
    <w:rsid w:val="007167D1"/>
    <w:rsid w:val="00737635"/>
    <w:rsid w:val="00744469"/>
    <w:rsid w:val="00747312"/>
    <w:rsid w:val="007566EB"/>
    <w:rsid w:val="00773D72"/>
    <w:rsid w:val="00782D4C"/>
    <w:rsid w:val="00797E60"/>
    <w:rsid w:val="007A0075"/>
    <w:rsid w:val="007B1C3C"/>
    <w:rsid w:val="007C31D9"/>
    <w:rsid w:val="007C46D8"/>
    <w:rsid w:val="007D0935"/>
    <w:rsid w:val="007E6B56"/>
    <w:rsid w:val="007E6E16"/>
    <w:rsid w:val="007E732D"/>
    <w:rsid w:val="007F59A4"/>
    <w:rsid w:val="0080109D"/>
    <w:rsid w:val="008053D8"/>
    <w:rsid w:val="00815F47"/>
    <w:rsid w:val="008255F6"/>
    <w:rsid w:val="00830A79"/>
    <w:rsid w:val="00832A86"/>
    <w:rsid w:val="00835609"/>
    <w:rsid w:val="00844670"/>
    <w:rsid w:val="00847203"/>
    <w:rsid w:val="008647B8"/>
    <w:rsid w:val="008670CE"/>
    <w:rsid w:val="00871A0E"/>
    <w:rsid w:val="008819E7"/>
    <w:rsid w:val="008842D3"/>
    <w:rsid w:val="00890FAA"/>
    <w:rsid w:val="008A2298"/>
    <w:rsid w:val="008B607A"/>
    <w:rsid w:val="008C4BAC"/>
    <w:rsid w:val="008C6214"/>
    <w:rsid w:val="008C7EB7"/>
    <w:rsid w:val="008E0060"/>
    <w:rsid w:val="008E1730"/>
    <w:rsid w:val="008F7D9B"/>
    <w:rsid w:val="00910732"/>
    <w:rsid w:val="009117F1"/>
    <w:rsid w:val="009121EF"/>
    <w:rsid w:val="009343A7"/>
    <w:rsid w:val="00934A32"/>
    <w:rsid w:val="00935469"/>
    <w:rsid w:val="00942E26"/>
    <w:rsid w:val="00942F74"/>
    <w:rsid w:val="009574F9"/>
    <w:rsid w:val="00967D4A"/>
    <w:rsid w:val="00973152"/>
    <w:rsid w:val="009A1380"/>
    <w:rsid w:val="009A66A1"/>
    <w:rsid w:val="009A7345"/>
    <w:rsid w:val="009A755D"/>
    <w:rsid w:val="009C6048"/>
    <w:rsid w:val="009C6899"/>
    <w:rsid w:val="009C71CB"/>
    <w:rsid w:val="009D6602"/>
    <w:rsid w:val="009E1C91"/>
    <w:rsid w:val="00A05864"/>
    <w:rsid w:val="00A076EC"/>
    <w:rsid w:val="00A13675"/>
    <w:rsid w:val="00A15D10"/>
    <w:rsid w:val="00A16328"/>
    <w:rsid w:val="00A338EB"/>
    <w:rsid w:val="00A33A3D"/>
    <w:rsid w:val="00A33D97"/>
    <w:rsid w:val="00A34F9E"/>
    <w:rsid w:val="00A3569D"/>
    <w:rsid w:val="00A36264"/>
    <w:rsid w:val="00A47B09"/>
    <w:rsid w:val="00A67723"/>
    <w:rsid w:val="00A7761D"/>
    <w:rsid w:val="00A87668"/>
    <w:rsid w:val="00AA3E99"/>
    <w:rsid w:val="00AC3356"/>
    <w:rsid w:val="00AD04D6"/>
    <w:rsid w:val="00AF426D"/>
    <w:rsid w:val="00AF6A48"/>
    <w:rsid w:val="00B04C20"/>
    <w:rsid w:val="00B11883"/>
    <w:rsid w:val="00B3216D"/>
    <w:rsid w:val="00B32C5C"/>
    <w:rsid w:val="00B34D50"/>
    <w:rsid w:val="00B50733"/>
    <w:rsid w:val="00B539D6"/>
    <w:rsid w:val="00B56267"/>
    <w:rsid w:val="00B56786"/>
    <w:rsid w:val="00B57C7F"/>
    <w:rsid w:val="00B7041C"/>
    <w:rsid w:val="00B70C0C"/>
    <w:rsid w:val="00B75616"/>
    <w:rsid w:val="00B90AFE"/>
    <w:rsid w:val="00B921E9"/>
    <w:rsid w:val="00B9435E"/>
    <w:rsid w:val="00BA0F0F"/>
    <w:rsid w:val="00BA40A6"/>
    <w:rsid w:val="00BA5CD3"/>
    <w:rsid w:val="00BB0C81"/>
    <w:rsid w:val="00BD26E4"/>
    <w:rsid w:val="00BD5598"/>
    <w:rsid w:val="00BF3072"/>
    <w:rsid w:val="00C1026C"/>
    <w:rsid w:val="00C219E1"/>
    <w:rsid w:val="00C26A71"/>
    <w:rsid w:val="00C40BA4"/>
    <w:rsid w:val="00C5332E"/>
    <w:rsid w:val="00C54BB9"/>
    <w:rsid w:val="00C70F57"/>
    <w:rsid w:val="00C72443"/>
    <w:rsid w:val="00C920D4"/>
    <w:rsid w:val="00CD05F2"/>
    <w:rsid w:val="00CD4548"/>
    <w:rsid w:val="00CE0C65"/>
    <w:rsid w:val="00CE2B93"/>
    <w:rsid w:val="00CE6FA4"/>
    <w:rsid w:val="00CE70CC"/>
    <w:rsid w:val="00CF1BC0"/>
    <w:rsid w:val="00D019D4"/>
    <w:rsid w:val="00D02889"/>
    <w:rsid w:val="00D02999"/>
    <w:rsid w:val="00D03867"/>
    <w:rsid w:val="00D117E6"/>
    <w:rsid w:val="00D337BC"/>
    <w:rsid w:val="00D35BAB"/>
    <w:rsid w:val="00D43324"/>
    <w:rsid w:val="00D55B22"/>
    <w:rsid w:val="00D6700A"/>
    <w:rsid w:val="00D7542C"/>
    <w:rsid w:val="00D90F1D"/>
    <w:rsid w:val="00D91F9F"/>
    <w:rsid w:val="00D92737"/>
    <w:rsid w:val="00DA7A8F"/>
    <w:rsid w:val="00DB3EA3"/>
    <w:rsid w:val="00DB40C5"/>
    <w:rsid w:val="00DB5DBD"/>
    <w:rsid w:val="00DC370F"/>
    <w:rsid w:val="00DC558E"/>
    <w:rsid w:val="00DE12D5"/>
    <w:rsid w:val="00DE2562"/>
    <w:rsid w:val="00E073EC"/>
    <w:rsid w:val="00E07579"/>
    <w:rsid w:val="00E112EA"/>
    <w:rsid w:val="00E14E40"/>
    <w:rsid w:val="00E201FD"/>
    <w:rsid w:val="00E20828"/>
    <w:rsid w:val="00E4229E"/>
    <w:rsid w:val="00E44390"/>
    <w:rsid w:val="00E45CF5"/>
    <w:rsid w:val="00E50090"/>
    <w:rsid w:val="00E539B2"/>
    <w:rsid w:val="00E54024"/>
    <w:rsid w:val="00E66055"/>
    <w:rsid w:val="00E81664"/>
    <w:rsid w:val="00E90E13"/>
    <w:rsid w:val="00E915D8"/>
    <w:rsid w:val="00E96791"/>
    <w:rsid w:val="00EA17D9"/>
    <w:rsid w:val="00EA296A"/>
    <w:rsid w:val="00EA35B3"/>
    <w:rsid w:val="00EB1A20"/>
    <w:rsid w:val="00EB62F1"/>
    <w:rsid w:val="00EB6DC3"/>
    <w:rsid w:val="00EC4C04"/>
    <w:rsid w:val="00ED3171"/>
    <w:rsid w:val="00ED7068"/>
    <w:rsid w:val="00EE03D0"/>
    <w:rsid w:val="00EF6852"/>
    <w:rsid w:val="00F13A98"/>
    <w:rsid w:val="00F14015"/>
    <w:rsid w:val="00F25FB9"/>
    <w:rsid w:val="00F2788D"/>
    <w:rsid w:val="00F332DB"/>
    <w:rsid w:val="00F37E18"/>
    <w:rsid w:val="00F43A89"/>
    <w:rsid w:val="00F4441B"/>
    <w:rsid w:val="00F543E8"/>
    <w:rsid w:val="00F61DB6"/>
    <w:rsid w:val="00F65E1C"/>
    <w:rsid w:val="00F838D9"/>
    <w:rsid w:val="00F91466"/>
    <w:rsid w:val="00F91844"/>
    <w:rsid w:val="00F9194D"/>
    <w:rsid w:val="00FA16C8"/>
    <w:rsid w:val="00FA28FB"/>
    <w:rsid w:val="00FA388B"/>
    <w:rsid w:val="00FA5583"/>
    <w:rsid w:val="00FA5BE7"/>
    <w:rsid w:val="00FA5DA8"/>
    <w:rsid w:val="00FB60CE"/>
    <w:rsid w:val="00FC0AE3"/>
    <w:rsid w:val="00FC4FB9"/>
    <w:rsid w:val="00FC7F62"/>
    <w:rsid w:val="00FE1471"/>
    <w:rsid w:val="00FE7E77"/>
    <w:rsid w:val="00FF4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36763"/>
  <w15:docId w15:val="{76A6C0D5-124A-4D9E-B90A-A5317540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uiPriority w:val="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1"/>
    <w:qFormat/>
    <w:rsid w:val="00773D72"/>
    <w:pPr>
      <w:spacing w:after="0"/>
    </w:pPr>
    <w:rPr>
      <w:color w:val="000000"/>
    </w:rPr>
  </w:style>
  <w:style w:type="character" w:customStyle="1" w:styleId="BezmezerChar">
    <w:name w:val="Bez mezer Char"/>
    <w:basedOn w:val="Standardnpsmoodstavce"/>
    <w:link w:val="Bezmezer"/>
    <w:uiPriority w:val="1"/>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17"/>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eastAsia="Times New Roman" w:hAnsi="Arial" w:cs="Arial"/>
      <w:color w:val="auto"/>
      <w:lang w:val="en-US" w:eastAsia="cs-CZ"/>
    </w:rPr>
  </w:style>
  <w:style w:type="character" w:customStyle="1" w:styleId="ZkladntextChar">
    <w:name w:val="Základní text Char"/>
    <w:aliases w:val="Standard paragraph Char"/>
    <w:basedOn w:val="Standardnpsmoodstavce"/>
    <w:link w:val="Zkladntext"/>
    <w:semiHidden/>
    <w:rsid w:val="005C6C32"/>
    <w:rPr>
      <w:rFonts w:ascii="Arial" w:eastAsia="Times New Roman" w:hAnsi="Arial" w:cs="Arial"/>
      <w:lang w:val="en-US" w:eastAsia="cs-CZ"/>
    </w:rPr>
  </w:style>
  <w:style w:type="paragraph" w:customStyle="1" w:styleId="Default">
    <w:name w:val="Default"/>
    <w:rsid w:val="000C0FA8"/>
    <w:pPr>
      <w:autoSpaceDE w:val="0"/>
      <w:autoSpaceDN w:val="0"/>
      <w:adjustRightInd w:val="0"/>
      <w:spacing w:after="0" w:line="240" w:lineRule="auto"/>
    </w:pPr>
    <w:rPr>
      <w:rFonts w:ascii="Arial" w:hAnsi="Arial" w:cs="Arial"/>
      <w:color w:val="000000"/>
      <w:sz w:val="24"/>
      <w:szCs w:val="24"/>
    </w:rPr>
  </w:style>
  <w:style w:type="paragraph" w:customStyle="1" w:styleId="Odrky24">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customStyle="1" w:styleId="TextkomenteChar">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customStyle="1" w:styleId="PedmtkomenteChar">
    <w:name w:val="Předmět komentáře Char"/>
    <w:basedOn w:val="TextkomenteChar"/>
    <w:link w:val="Pedmtkomente"/>
    <w:uiPriority w:val="99"/>
    <w:semiHidden/>
    <w:rsid w:val="00EE03D0"/>
    <w:rPr>
      <w:b/>
      <w:bCs/>
      <w:color w:val="000000"/>
      <w:sz w:val="20"/>
      <w:szCs w:val="20"/>
    </w:rPr>
  </w:style>
  <w:style w:type="paragraph" w:customStyle="1" w:styleId="A-ZprvaCSP-ods1dek">
    <w:name w:val="A-ZprávaCSP-ods.1.řádek"/>
    <w:basedOn w:val="Normln"/>
    <w:rsid w:val="006445B9"/>
    <w:pPr>
      <w:spacing w:after="0"/>
      <w:ind w:firstLine="709"/>
    </w:pPr>
    <w:rPr>
      <w:rFonts w:ascii="Arial Narrow" w:eastAsia="Times New Roman" w:hAnsi="Arial Narrow" w:cs="Arial Narrow"/>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chvatalova@hospic-pisek.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spic-pisek.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c-pise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mkova@hospic-pisek.cz" TargetMode="External"/><Relationship Id="rId4" Type="http://schemas.openxmlformats.org/officeDocument/2006/relationships/settings" Target="settings.xml"/><Relationship Id="rId9" Type="http://schemas.openxmlformats.org/officeDocument/2006/relationships/hyperlink" Target="mailto:samkova@hospic-pise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E21F-20E7-47B5-921D-F16816BA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8</Pages>
  <Words>2643</Words>
  <Characters>15598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Murlová Kateřina Mgr.</dc:creator>
  <cp:lastModifiedBy>Athelas</cp:lastModifiedBy>
  <cp:revision>26</cp:revision>
  <cp:lastPrinted>2024-10-30T06:49:00Z</cp:lastPrinted>
  <dcterms:created xsi:type="dcterms:W3CDTF">2020-05-05T11:38:00Z</dcterms:created>
  <dcterms:modified xsi:type="dcterms:W3CDTF">2024-10-31T19:53:00Z</dcterms:modified>
</cp:coreProperties>
</file>